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0b430e5f2c4de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Admission preceded by community mental health care,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Admission preceded by community mental health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Admission preceded by community mental health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49208317a24d6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9af7da9d5b54a56">
              <w:r>
                <w:rPr>
                  <w:rStyle w:val="Hyperlink"/>
                  <w:b/>
                </w:rPr>
                <w:t xml:space="preserve">admissions</w:t>
              </w:r>
            </w:hyperlink>
            <w:r>
              <w:rPr>
                <w:rStyle w:val="row-content-rich-text"/>
              </w:rPr>
              <w:t xml:space="preserve"> to state/territory public acute admitted patient mental health care service unit(s) for which a community </w:t>
            </w:r>
            <w:hyperlink w:history="true" r:id="R28010901b2374e0b">
              <w:r>
                <w:rPr>
                  <w:rStyle w:val="Hyperlink"/>
                </w:rPr>
                <w:t xml:space="preserve">mental health service contact</w:t>
              </w:r>
            </w:hyperlink>
            <w:r>
              <w:rPr>
                <w:rStyle w:val="row-content-rich-text"/>
              </w:rPr>
              <w:t xml:space="preserve">, in which the consumer or their carer/support person participated, was recorded in the 7 days immediately preceding that admission.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Admission preceded by community mental health care</w:t>
            </w:r>
            <w:r>
              <w:rPr>
                <w:rStyle w:val="row-content-rich-text"/>
              </w:rPr>
              <w:t xml:space="preserve">, </w:t>
            </w:r>
            <w:r>
              <w:rPr>
                <w:rStyle w:val="row-content-rich-text"/>
                <w:i/>
              </w:rPr>
              <w:t xml:space="preserve">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Public sector community mental health services deliver a broad spectrum of services to consumers living in the community. Access to community mental health care can help avert hospital admissions and ensure that hospitalisation only occurs when it is the most suitable treatment option.</w:t>
            </w:r>
          </w:p>
          <w:p>
            <w:pPr>
              <w:pStyle w:val="ListParagraph"/>
              <w:numPr>
                <w:ilvl w:val="0"/>
                <w:numId w:val="2"/>
              </w:numPr>
            </w:pPr>
            <w:r>
              <w:rPr>
                <w:rStyle w:val="row-content-rich-text"/>
              </w:rPr>
              <w:t xml:space="preserve">Monitoring public sector community mental health service contacts with consumers followed by admission to hospital serves as a proxy measure of access to community mental health care.</w:t>
            </w:r>
          </w:p>
          <w:p>
            <w:pPr>
              <w:pStyle w:val="ListParagraph"/>
              <w:numPr>
                <w:ilvl w:val="0"/>
                <w:numId w:val="2"/>
              </w:numPr>
            </w:pPr>
            <w:r>
              <w:rPr>
                <w:rStyle w:val="row-content-rich-text"/>
              </w:rPr>
              <w:t xml:space="preserve">It is reasonable to expect that for consumers known to community mental health services, the community team has been involved in the consumer’s care prior to admission to hospital.</w:t>
            </w:r>
          </w:p>
          <w:p>
            <w:pPr>
              <w:pStyle w:val="ListParagraph"/>
              <w:numPr>
                <w:ilvl w:val="0"/>
                <w:numId w:val="2"/>
              </w:numPr>
            </w:pPr>
            <w:r>
              <w:rPr>
                <w:rStyle w:val="row-content-rich-text"/>
              </w:rPr>
              <w:t xml:space="preserve">Both local and national legislation and policies support the engagement of carers for people with mental illness in all levels of service delivery. Families and carers are the backbone of community mental health support, and play a critical role in the process of recovery and relapse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e19c0591274f30">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8897e4711b4c461b">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(admission data preceded by community contact).</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 (e.g. in-hospital transfer from another unit)</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2020 performance reporting: 2018–19</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reporting to the Mental Health Establishments NMDS are in scope for this indicator, including short-stay units and emergency acute mental health admitted units.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p>
            <w:pPr/>
            <w:r>
              <w:rPr>
                <w:rStyle w:val="row-content-rich-text"/>
              </w:rPr>
              <w:t xml:space="preserve">Different results for the </w:t>
            </w:r>
            <w:r>
              <w:rPr>
                <w:rStyle w:val="row-content-rich-text"/>
                <w:i/>
              </w:rPr>
              <w:t xml:space="preserve">Admission preceded by community mental health care </w:t>
            </w:r>
            <w:r>
              <w:rPr>
                <w:rStyle w:val="row-content-rich-text"/>
              </w:rPr>
              <w:t xml:space="preserve">indicator will be achieved depending on whether the indicator is based on organisation-level or state-level analysis. The key difference between the two approaches concerns whether community mental health service contact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for which a community mental health service contact, in which the consumer or their carer/support person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9f10b032f2344dcf">
              <w:r>
                <w:rPr>
                  <w:rStyle w:val="Hyperlink"/>
                </w:rPr>
                <w:t xml:space="preserve">State/territory community mental health care data </w:t>
              </w:r>
            </w:hyperlink>
            <w:r>
              <w:rPr>
                <w:rStyle w:val="row-content"/>
              </w:rPr>
              <w:t xml:space="preserve">2018–19</w:t>
            </w:r>
          </w:p>
          <w:p>
            <w:hyperlink w:history="true" r:id="R4c3e775d3f374b29">
              <w:r>
                <w:rPr>
                  <w:rStyle w:val="Hyperlink"/>
                </w:rPr>
                <w:t xml:space="preserve">State/territory admitted patient data</w:t>
              </w:r>
            </w:hyperlink>
            <w:r>
              <w:rPr>
                <w:rStyle w:val="row-content"/>
              </w:rPr>
              <w:t xml:space="preserve"> 2018–19</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w:t>
            </w:r>
          </w:p>
          <w:p>
            <w:r>
              <w:rPr>
                <w:rStyle w:val="row-content"/>
                <w:b/>
                <w:sz w:val="20"/>
              </w:rPr>
              <w:t xml:space="preserve">Data Source</w:t>
            </w:r>
          </w:p>
          <w:p>
            <w:hyperlink w:history="true" r:id="Rc00b2d0efc604022">
              <w:r>
                <w:rPr>
                  <w:rStyle w:val="Hyperlink"/>
                </w:rPr>
                <w:t xml:space="preserve">State/territory admitted patient data</w:t>
              </w:r>
            </w:hyperlink>
            <w:r>
              <w:rPr>
                <w:rStyle w:val="row-content"/>
              </w:rPr>
              <w:t xml:space="preserve"> 2018–19</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remoteness, Indigenous status, consumer present in the mental health service contact.</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2 (SA2) code</w:t>
            </w:r>
          </w:p>
          <w:p>
            <w:r>
              <w:rPr>
                <w:rStyle w:val="row-content"/>
                <w:b/>
                <w:sz w:val="20"/>
              </w:rPr>
              <w:t xml:space="preserve">Da</w:t>
            </w:r>
            <w:r>
              <w:rPr>
                <w:rStyle w:val="row-content"/>
                <w:b/>
                <w:sz w:val="20"/>
              </w:rPr>
              <w:t xml:space="preserve">ta Source</w:t>
            </w:r>
          </w:p>
          <w:p>
            <w:hyperlink w:history="true" r:id="Rfe4383801c364efd">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Mental health service contact—consumer present</w:t>
            </w:r>
          </w:p>
          <w:p>
            <w:r>
              <w:rPr>
                <w:rStyle w:val="row-content"/>
                <w:b/>
              </w:rPr>
              <w:t xml:space="preserve">Data Source</w:t>
            </w:r>
          </w:p>
          <w:p>
            <w:hyperlink w:history="true" r:id="R4a45458a09e04401">
              <w:r>
                <w:rPr>
                  <w:rStyle w:val="Hyperlink"/>
                </w:rPr>
                <w:t xml:space="preserve">State/territory community mental health data</w:t>
              </w:r>
            </w:hyperlink>
            <w:r>
              <w:rPr>
                <w:rStyle w:val="row-content"/>
              </w:rPr>
              <w:t xml:space="preserve"> 2018–19</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6399155f92bf48a8">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2946d7626d704709">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7d5b94bc4bee457e">
              <w:r>
                <w:rPr>
                  <w:rStyle w:val="Hyperlink"/>
                </w:rPr>
                <w:t xml:space="preserve">State/territory admitted patient data </w:t>
              </w:r>
            </w:hyperlink>
            <w:r>
              <w:rPr>
                <w:rStyle w:val="row-content"/>
              </w:rPr>
              <w:t xml:space="preserve">2018–19</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rPr>
              <w:t xml:space="preserve">Data Source</w:t>
            </w:r>
          </w:p>
          <w:p>
            <w:hyperlink w:history="true" r:id="R8180dc72bb524a7b">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Target population refers to the </w:t>
            </w:r>
            <w:hyperlink w:history="true" r:id="R73f10dc8e4d74d40">
              <w:r>
                <w:rPr>
                  <w:rStyle w:val="Hyperlink"/>
                </w:rPr>
                <w:t xml:space="preserve">target population</w:t>
              </w:r>
            </w:hyperlink>
            <w:r>
              <w:rPr>
                <w:rStyle w:val="row-content"/>
              </w:rPr>
              <w:t xml:space="preserve"> of the service unit.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e5187a730ba442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NMDSs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 Data on carer/support person contacts and the target population of the admitting unit are not also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However, not all jurisdictions will be able to supply this data in 2020.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6"/>
              </w:numPr>
            </w:pPr>
            <w:r>
              <w:rPr>
                <w:rStyle w:val="row-content-rich-text"/>
              </w:rPr>
              <w:t xml:space="preserve">This measure does not consider variations in intensity or frequency of contacts prior to admission to hospital.</w:t>
            </w:r>
          </w:p>
          <w:p>
            <w:pPr>
              <w:pStyle w:val="ListParagraph"/>
              <w:numPr>
                <w:ilvl w:val="0"/>
                <w:numId w:val="6"/>
              </w:numPr>
            </w:pPr>
            <w:r>
              <w:rPr>
                <w:rStyle w:val="row-content-rich-text"/>
              </w:rPr>
              <w:t xml:space="preserve">This measure does not distinguish qualitative differences between phone and face‐to‐face community contacts.</w:t>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3279d3fd484925">
              <w:r>
                <w:rPr>
                  <w:rStyle w:val="Hyperlink"/>
                </w:rPr>
                <w:t xml:space="preserve">KPIs for Australian Public Mental Health Services: PI 11J – Pre-admission community mental health care, 2019</w:t>
              </w:r>
            </w:hyperlink>
          </w:p>
          <w:p>
            <w:pPr>
              <w:spacing w:before="0" w:after="0"/>
            </w:pPr>
            <w:r>
              <w:rPr>
                <w:rStyle w:val="row-content"/>
                <w:color w:val="244061"/>
              </w:rPr>
              <w:t xml:space="preserve">       </w:t>
            </w:r>
            <w:hyperlink w:history="true" r:id="R655e06ae1931432f">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a1443e9af36c48b4">
              <w:r>
                <w:rPr>
                  <w:rStyle w:val="Hyperlink"/>
                </w:rPr>
                <w:t xml:space="preserve">KPIs for Australian Public Mental Health Services: PI 11J – Admission preceded by community mental health care, 2021</w:t>
              </w:r>
            </w:hyperlink>
          </w:p>
          <w:p>
            <w:pPr>
              <w:spacing w:before="0" w:after="0"/>
            </w:pPr>
            <w:r>
              <w:rPr>
                <w:rStyle w:val="row-content"/>
                <w:color w:val="244061"/>
              </w:rPr>
              <w:t xml:space="preserve">       </w:t>
            </w:r>
            <w:hyperlink w:history="true" r:id="Re66c40b103574b05">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c4185dc7b48e4b0f">
              <w:r>
                <w:rPr>
                  <w:rStyle w:val="Hyperlink"/>
                </w:rPr>
                <w:t xml:space="preserve">KPIs for Australian Public Mental Health Services: PI 12J – Post-discharge community mental health care, 2020</w:t>
              </w:r>
            </w:hyperlink>
          </w:p>
          <w:p>
            <w:pPr>
              <w:spacing w:before="0" w:after="0"/>
            </w:pPr>
            <w:r>
              <w:rPr>
                <w:rStyle w:val="row-content"/>
                <w:color w:val="244061"/>
              </w:rPr>
              <w:t xml:space="preserve">       </w:t>
            </w:r>
            <w:hyperlink w:history="true" r:id="Rc6d0b8a0ef894bd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29788347a0a54d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723365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f55410241045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788347a0a54d09" /><Relationship Type="http://schemas.openxmlformats.org/officeDocument/2006/relationships/header" Target="/word/header1.xml" Id="R2a37654dded347aa" /><Relationship Type="http://schemas.openxmlformats.org/officeDocument/2006/relationships/settings" Target="/word/settings.xml" Id="R96d3e55ced6a49ed" /><Relationship Type="http://schemas.openxmlformats.org/officeDocument/2006/relationships/styles" Target="/word/styles.xml" Id="R2c4122fa80dd475c" /><Relationship Type="http://schemas.openxmlformats.org/officeDocument/2006/relationships/hyperlink" Target="https://meteor.aihw.gov.au/RegistrationAuthority/12" TargetMode="External" Id="Rfb49208317a24d6f" /><Relationship Type="http://schemas.openxmlformats.org/officeDocument/2006/relationships/hyperlink" Target="https://meteor.aihw.gov.au/content/327206" TargetMode="External" Id="R99af7da9d5b54a56" /><Relationship Type="http://schemas.openxmlformats.org/officeDocument/2006/relationships/hyperlink" Target="https://meteor.aihw.gov.au/content/493304" TargetMode="External" Id="R28010901b2374e0b" /><Relationship Type="http://schemas.openxmlformats.org/officeDocument/2006/relationships/numbering" Target="/word/numbering.xml" Id="R57d4bd8cef994207" /><Relationship Type="http://schemas.openxmlformats.org/officeDocument/2006/relationships/hyperlink" Target="https://meteor.aihw.gov.au/content/720487" TargetMode="External" Id="R79e19c0591274f30" /><Relationship Type="http://schemas.openxmlformats.org/officeDocument/2006/relationships/hyperlink" Target="https://meteor.aihw.gov.au/RegistrationAuthority/12" TargetMode="External" Id="R8897e4711b4c461b" /><Relationship Type="http://schemas.openxmlformats.org/officeDocument/2006/relationships/hyperlink" Target="https://meteor.aihw.gov.au/content/402135" TargetMode="External" Id="R9f10b032f2344dcf" /><Relationship Type="http://schemas.openxmlformats.org/officeDocument/2006/relationships/hyperlink" Target="https://meteor.aihw.gov.au/content/426458" TargetMode="External" Id="R4c3e775d3f374b29" /><Relationship Type="http://schemas.openxmlformats.org/officeDocument/2006/relationships/hyperlink" Target="https://meteor.aihw.gov.au/content/426458" TargetMode="External" Id="Rc00b2d0efc604022" /><Relationship Type="http://schemas.openxmlformats.org/officeDocument/2006/relationships/hyperlink" Target="https://meteor.aihw.gov.au/content/426458" TargetMode="External" Id="Rfe4383801c364efd" /><Relationship Type="http://schemas.openxmlformats.org/officeDocument/2006/relationships/hyperlink" Target="https://meteor.aihw.gov.au/content/402135" TargetMode="External" Id="R4a45458a09e04401" /><Relationship Type="http://schemas.openxmlformats.org/officeDocument/2006/relationships/hyperlink" Target="https://meteor.aihw.gov.au/content/426458" TargetMode="External" Id="R6399155f92bf48a8" /><Relationship Type="http://schemas.openxmlformats.org/officeDocument/2006/relationships/hyperlink" Target="https://meteor.aihw.gov.au/content/426458" TargetMode="External" Id="R2946d7626d704709" /><Relationship Type="http://schemas.openxmlformats.org/officeDocument/2006/relationships/hyperlink" Target="https://meteor.aihw.gov.au/content/426458" TargetMode="External" Id="R7d5b94bc4bee457e" /><Relationship Type="http://schemas.openxmlformats.org/officeDocument/2006/relationships/hyperlink" Target="https://meteor.aihw.gov.au/content/426458" TargetMode="External" Id="R8180dc72bb524a7b" /><Relationship Type="http://schemas.openxmlformats.org/officeDocument/2006/relationships/hyperlink" Target="https://meteor.aihw.gov.au/content/682403" TargetMode="External" Id="R73f10dc8e4d74d40" /><Relationship Type="http://schemas.openxmlformats.org/officeDocument/2006/relationships/hyperlink" Target="https://meteor.aihw.gov.au/content/721203" TargetMode="External" Id="R0e5187a730ba442f" /><Relationship Type="http://schemas.openxmlformats.org/officeDocument/2006/relationships/hyperlink" Target="https://meteor.aihw.gov.au/content/709384" TargetMode="External" Id="R413279d3fd484925" /><Relationship Type="http://schemas.openxmlformats.org/officeDocument/2006/relationships/hyperlink" Target="https://meteor.aihw.gov.au/RegistrationAuthority/12" TargetMode="External" Id="R655e06ae1931432f" /><Relationship Type="http://schemas.openxmlformats.org/officeDocument/2006/relationships/hyperlink" Target="https://meteor.aihw.gov.au/content/739893" TargetMode="External" Id="Ra1443e9af36c48b4" /><Relationship Type="http://schemas.openxmlformats.org/officeDocument/2006/relationships/hyperlink" Target="https://meteor.aihw.gov.au/RegistrationAuthority/12" TargetMode="External" Id="Re66c40b103574b05" /><Relationship Type="http://schemas.openxmlformats.org/officeDocument/2006/relationships/hyperlink" Target="https://meteor.aihw.gov.au/content/723388" TargetMode="External" Id="Rc4185dc7b48e4b0f" /><Relationship Type="http://schemas.openxmlformats.org/officeDocument/2006/relationships/hyperlink" Target="https://meteor.aihw.gov.au/RegistrationAuthority/12" TargetMode="External" Id="Rc6d0b8a0ef894bd4" /></Relationships>
</file>

<file path=word/_rels/header1.xml.rels>&#65279;<?xml version="1.0" encoding="utf-8"?><Relationships xmlns="http://schemas.openxmlformats.org/package/2006/relationships"><Relationship Type="http://schemas.openxmlformats.org/officeDocument/2006/relationships/image" Target="/media/image.png" Id="Rc5f5541024104577" /></Relationships>
</file>