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e3424e6a284657"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(other diagnostic and health professionals), average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(other diagnostic and health professionals), average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staff—other diagnostic and health professionals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722518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64c6669ff14ead">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full-time equivalent staff units paid for all </w:t>
            </w:r>
            <w:hyperlink w:tooltip="Includes qualified staff (other than qualified medical or nursing staff) engaged in duties of a diagnostic, professional or technical nature and covers all allied health professionals and laboratory technicians (but excludes civil engineers and computi..." w:history="true" r:id="R203494b38a08489a">
              <w:r>
                <w:rPr>
                  <w:rStyle w:val="Hyperlink"/>
                  <w:b/>
                </w:rPr>
                <w:t xml:space="preserve">other diagnostic and health professionals</w:t>
              </w:r>
            </w:hyperlink>
            <w:r>
              <w:rPr>
                <w:rStyle w:val="row-content-rich-text"/>
              </w:rPr>
              <w:t xml:space="preserve"> 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c261f9d0ae84e3e">
              <w:r>
                <w:rPr>
                  <w:rStyle w:val="Hyperlink"/>
                </w:rPr>
                <w:t xml:space="preserve">Establishment—full-time equivalent staff (paid) (other diagnostic and health professionals)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3a4b027f04c40f7">
              <w:r>
                <w:rPr>
                  <w:rStyle w:val="Hyperlink"/>
                </w:rPr>
                <w:t xml:space="preserve">Average full-time equivalent staff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qualified staff (other than qualified medical or nursing staff) engaged in duties of a diagnostic, professional or technical nature. This metadata item covers all allied health professionals and laboratory technicians (but excludes civil engineers and computing staff).</w:t>
            </w:r>
          </w:p>
          <w:p>
            <w:pPr>
              <w:spacing w:after="160"/>
            </w:pPr>
            <w:r>
              <w:rPr>
                <w:rStyle w:val="row-content-rich-text"/>
              </w:rPr>
              <w:t xml:space="preserve">The average is to be calculated from pay period figures. The length of the pay period is assumed to be a fortnight.</w:t>
            </w:r>
          </w:p>
          <w:p>
            <w:pPr>
              <w:spacing w:after="160"/>
            </w:pPr>
            <w:r>
              <w:rPr>
                <w:rStyle w:val="row-content-rich-text"/>
              </w:rPr>
              <w:t xml:space="preserve">Data on full-time equivalent staffing numbers by category should be consistent with data on salaries and wages by staffing category. If the full-time equivalent for contract staff is not collected then salaries for those contract staff should be included in other recurrent expenditure data items.</w:t>
            </w:r>
          </w:p>
          <w:p>
            <w:pPr/>
            <w:r>
              <w:rPr>
                <w:rStyle w:val="row-content-rich-text"/>
              </w:rPr>
              <w:t xml:space="preserve">Where staff provide services to more than one establishment, full-time equivalent staff members should be apportioned between all establishments to which services are provided on the basis of hours paid for in each (salary costs should be apportioned on the same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was amended during 1996-97. Until then, both average and end of year counts of full-time equivalent staff were included, and the end of year counts used as surrogates for the average counts if the latter were unavailable. The average count is more useful for accurate analysis of staffing inputs for establishment outputs and for assessments and comparisons of labour costs.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5ddfde3b3454e5c">
              <w:r>
                <w:rPr>
                  <w:rStyle w:val="Hyperlink"/>
                </w:rPr>
                <w:t xml:space="preserve">Establishment—full-time equivalent staff (paid) (other diagnostic and health professionals), average N[NNN{.N}]</w:t>
              </w:r>
            </w:hyperlink>
          </w:p>
          <w:p>
            <w:pPr>
              <w:pStyle w:val="registration-status"/>
              <w:spacing w:before="0" w:after="0"/>
            </w:pPr>
            <w:hyperlink w:history="true" r:id="Ra141a70dfb1d4f00">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f5b4d3cd2e64da7">
              <w:r>
                <w:rPr>
                  <w:rStyle w:val="Hyperlink"/>
                </w:rPr>
                <w:t xml:space="preserve">Mental health establishments NMDS 2020–21</w:t>
              </w:r>
            </w:hyperlink>
          </w:p>
          <w:p>
            <w:pPr>
              <w:pStyle w:val="registration-status"/>
              <w:spacing w:before="0" w:after="0"/>
            </w:pPr>
            <w:hyperlink w:history="true" r:id="Rd49c544dffb94250">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c0356a7647404ce5">
              <w:r>
                <w:rPr>
                  <w:rStyle w:val="Hyperlink"/>
                </w:rPr>
                <w:t xml:space="preserve">Mental health establishments NMDS 2021–22</w:t>
              </w:r>
            </w:hyperlink>
          </w:p>
          <w:p>
            <w:pPr>
              <w:pStyle w:val="registration-status"/>
              <w:spacing w:before="0" w:after="0"/>
            </w:pPr>
            <w:hyperlink w:history="true" r:id="Reb4e2f83ce41416b">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704b007234084f25">
              <w:r>
                <w:rPr>
                  <w:rStyle w:val="Hyperlink"/>
                </w:rPr>
                <w:t xml:space="preserve">Mental health establishments NMDS 2022–23</w:t>
              </w:r>
            </w:hyperlink>
          </w:p>
          <w:p>
            <w:pPr>
              <w:pStyle w:val="registration-status"/>
              <w:spacing w:before="0" w:after="0"/>
            </w:pPr>
            <w:hyperlink w:history="true" r:id="R35f393e7157245ab">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0fda34f4f73249ca">
              <w:r>
                <w:rPr>
                  <w:rStyle w:val="Hyperlink"/>
                </w:rPr>
                <w:t xml:space="preserve">Mental health establishments NMDS 2023–24</w:t>
              </w:r>
            </w:hyperlink>
          </w:p>
          <w:p>
            <w:pPr>
              <w:pStyle w:val="registration-status"/>
              <w:spacing w:before="0" w:after="0"/>
            </w:pPr>
            <w:hyperlink w:history="true" r:id="R31095e5dae4a4ebf">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3e816af206504dfb">
              <w:r>
                <w:rPr>
                  <w:rStyle w:val="Hyperlink"/>
                </w:rPr>
                <w:t xml:space="preserve">Mental health establishments NMDS 2024–25</w:t>
              </w:r>
            </w:hyperlink>
          </w:p>
          <w:p>
            <w:pPr>
              <w:pStyle w:val="registration-status"/>
              <w:spacing w:before="0" w:after="0"/>
            </w:pPr>
            <w:hyperlink w:history="true" r:id="R586145b461814bb3">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878840b5eee649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722518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0a383a230940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8840b5eee649bb" /><Relationship Type="http://schemas.openxmlformats.org/officeDocument/2006/relationships/header" Target="/word/header1.xml" Id="Rcd19e6c9b75b4544" /><Relationship Type="http://schemas.openxmlformats.org/officeDocument/2006/relationships/settings" Target="/word/settings.xml" Id="R82f7b2b32173429d" /><Relationship Type="http://schemas.openxmlformats.org/officeDocument/2006/relationships/styles" Target="/word/styles.xml" Id="Rfd550bff0840400b" /><Relationship Type="http://schemas.openxmlformats.org/officeDocument/2006/relationships/hyperlink" Target="https://meteor.aihw.gov.au/RegistrationAuthority/12" TargetMode="External" Id="R0e64c6669ff14ead" /><Relationship Type="http://schemas.openxmlformats.org/officeDocument/2006/relationships/hyperlink" Target="https://meteor.aihw.gov.au/content/327338" TargetMode="External" Id="R203494b38a08489a" /><Relationship Type="http://schemas.openxmlformats.org/officeDocument/2006/relationships/hyperlink" Target="https://meteor.aihw.gov.au/content/287700" TargetMode="External" Id="R3c261f9d0ae84e3e" /><Relationship Type="http://schemas.openxmlformats.org/officeDocument/2006/relationships/hyperlink" Target="https://meteor.aihw.gov.au/content/426709" TargetMode="External" Id="Rd3a4b027f04c40f7" /><Relationship Type="http://schemas.openxmlformats.org/officeDocument/2006/relationships/hyperlink" Target="https://meteor.aihw.gov.au/content/287611" TargetMode="External" Id="Rd5ddfde3b3454e5c" /><Relationship Type="http://schemas.openxmlformats.org/officeDocument/2006/relationships/hyperlink" Target="https://meteor.aihw.gov.au/RegistrationAuthority/12" TargetMode="External" Id="Ra141a70dfb1d4f00" /><Relationship Type="http://schemas.openxmlformats.org/officeDocument/2006/relationships/hyperlink" Target="https://meteor.aihw.gov.au/content/722168" TargetMode="External" Id="R2f5b4d3cd2e64da7" /><Relationship Type="http://schemas.openxmlformats.org/officeDocument/2006/relationships/hyperlink" Target="https://meteor.aihw.gov.au/RegistrationAuthority/12" TargetMode="External" Id="Rd49c544dffb94250" /><Relationship Type="http://schemas.openxmlformats.org/officeDocument/2006/relationships/hyperlink" Target="https://meteor.aihw.gov.au/content/727352" TargetMode="External" Id="Rc0356a7647404ce5" /><Relationship Type="http://schemas.openxmlformats.org/officeDocument/2006/relationships/hyperlink" Target="https://meteor.aihw.gov.au/RegistrationAuthority/12" TargetMode="External" Id="Reb4e2f83ce41416b" /><Relationship Type="http://schemas.openxmlformats.org/officeDocument/2006/relationships/hyperlink" Target="https://meteor.aihw.gov.au/content/742046" TargetMode="External" Id="R704b007234084f25" /><Relationship Type="http://schemas.openxmlformats.org/officeDocument/2006/relationships/hyperlink" Target="https://meteor.aihw.gov.au/RegistrationAuthority/12" TargetMode="External" Id="R35f393e7157245ab" /><Relationship Type="http://schemas.openxmlformats.org/officeDocument/2006/relationships/hyperlink" Target="https://meteor.aihw.gov.au/content/756103" TargetMode="External" Id="R0fda34f4f73249ca" /><Relationship Type="http://schemas.openxmlformats.org/officeDocument/2006/relationships/hyperlink" Target="https://meteor.aihw.gov.au/RegistrationAuthority/12" TargetMode="External" Id="R31095e5dae4a4ebf" /><Relationship Type="http://schemas.openxmlformats.org/officeDocument/2006/relationships/hyperlink" Target="https://meteor.aihw.gov.au/content/775628" TargetMode="External" Id="R3e816af206504dfb" /><Relationship Type="http://schemas.openxmlformats.org/officeDocument/2006/relationships/hyperlink" Target="https://meteor.aihw.gov.au/RegistrationAuthority/12" TargetMode="External" Id="R586145b461814bb3" /></Relationships>
</file>

<file path=word/_rels/header1.xml.rels>&#65279;<?xml version="1.0" encoding="utf-8"?><Relationships xmlns="http://schemas.openxmlformats.org/package/2006/relationships"><Relationship Type="http://schemas.openxmlformats.org/officeDocument/2006/relationships/image" Target="/media/image.png" Id="Rc60a383a230940e5" /></Relationships>
</file>