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d589d73f6942ca"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e18f61688496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5730b355cef94405">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bd4d072a8349a4">
              <w:r>
                <w:rPr>
                  <w:rStyle w:val="Hyperlink"/>
                </w:rPr>
                <w:t xml:space="preserve">Implementation of National standards for mental health services status code N</w:t>
              </w:r>
            </w:hyperlink>
          </w:p>
          <w:p>
            <w:pPr>
              <w:pStyle w:val="registration-status"/>
              <w:spacing w:before="0" w:after="0"/>
            </w:pPr>
            <w:hyperlink w:history="true" r:id="Raad641f5c2c741b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69d69e777644b3">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454130d1935c4d2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bf9d90ca53bd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339ba84d3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d90ca53bd41ce" /><Relationship Type="http://schemas.openxmlformats.org/officeDocument/2006/relationships/header" Target="/word/header1.xml" Id="R5f57f40defcb4eec" /><Relationship Type="http://schemas.openxmlformats.org/officeDocument/2006/relationships/settings" Target="/word/settings.xml" Id="R2cc1c73710ff429d" /><Relationship Type="http://schemas.openxmlformats.org/officeDocument/2006/relationships/styles" Target="/word/styles.xml" Id="R89a4160126b94ea4" /><Relationship Type="http://schemas.openxmlformats.org/officeDocument/2006/relationships/numbering" Target="/word/numbering.xml" Id="Rcb40a1d388094587" /><Relationship Type="http://schemas.openxmlformats.org/officeDocument/2006/relationships/hyperlink" Target="https://meteor.aihw.gov.au/RegistrationAuthority/12" TargetMode="External" Id="Rf81e18f616884961" /><Relationship Type="http://schemas.openxmlformats.org/officeDocument/2006/relationships/hyperlink" Target="https://www.safetyandquality.gov.au/our-work/mental-health/national-standards-in-mental-health" TargetMode="External" Id="R5730b355cef94405" /><Relationship Type="http://schemas.openxmlformats.org/officeDocument/2006/relationships/hyperlink" Target="https://meteor.aihw.gov.au/content/573545" TargetMode="External" Id="R10bd4d072a8349a4" /><Relationship Type="http://schemas.openxmlformats.org/officeDocument/2006/relationships/hyperlink" Target="https://meteor.aihw.gov.au/RegistrationAuthority/12" TargetMode="External" Id="Raad641f5c2c741ba" /><Relationship Type="http://schemas.openxmlformats.org/officeDocument/2006/relationships/hyperlink" Target="https://meteor.aihw.gov.au/content/722190" TargetMode="External" Id="R8169d69e777644b3" /><Relationship Type="http://schemas.openxmlformats.org/officeDocument/2006/relationships/hyperlink" Target="https://meteor.aihw.gov.au/RegistrationAuthority/12" TargetMode="External" Id="R454130d1935c4d28" /></Relationships>
</file>

<file path=word/_rels/header1.xml.rels>&#65279;<?xml version="1.0" encoding="utf-8"?><Relationships xmlns="http://schemas.openxmlformats.org/package/2006/relationships"><Relationship Type="http://schemas.openxmlformats.org/officeDocument/2006/relationships/image" Target="/media/image.png" Id="R358339ba84d34001" /></Relationships>
</file>