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f5b9c695f64d78"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c59d3f6224f54">
              <w:r>
                <w:rPr>
                  <w:rStyle w:val="Hyperlink"/>
                  <w:color w:val="244061"/>
                </w:rPr>
                <w:t xml:space="preserve">AIHW Data Quality Statements</w:t>
              </w:r>
            </w:hyperlink>
            <w:r>
              <w:rPr>
                <w:rStyle w:val="row-content"/>
                <w:color w:val="244061"/>
              </w:rPr>
              <w:t xml:space="preserve">, Superseded 22/01/2021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and formerly by New South Wales and Victoria)</w:t>
                  </w:r>
                </w:p>
                <w:p>
                  <w:pPr>
                    <w:pStyle w:val="ListParagraph"/>
                    <w:numPr>
                      <w:ilvl w:val="0"/>
                      <w:numId w:val="2"/>
                    </w:numPr>
                  </w:pPr>
                  <w:r>
                    <w:rPr>
                      <w:rStyle w:val="row-content-rich-text"/>
                    </w:rPr>
                    <w:t xml:space="preserve">deposit assistance (Tasmania and formerly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(Victoria, Queensland and the Australian Capital Territory and formerly New South Wales)</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2018–19 financial year; and</w:t>
                  </w:r>
                  <w:r>
                    <w:br/>
                  </w:r>
                  <w:r>
                    <w:rPr>
                      <w:rStyle w:val="row-content-rich-text"/>
                    </w:rPr>
                    <w:t xml:space="preserve">        • repayable forms of HPA prior to the 2018–19 financial year for which monies remain outstanding at the commencement of the 2018–19 financial year</w:t>
                  </w:r>
                </w:p>
                <w:p>
                  <w:pPr>
                    <w:pStyle w:val="ListParagraph"/>
                    <w:numPr>
                      <w:ilvl w:val="0"/>
                      <w:numId w:val="3"/>
                    </w:numPr>
                  </w:pPr>
                  <w:r>
                    <w:rPr>
                      <w:rStyle w:val="row-content-rich-text"/>
                    </w:rPr>
                    <w:t xml:space="preserve">value of HPA received during the 2018–19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d4d61eec8bc2466d">
                    <w:r>
                      <w:rPr>
                        <w:rStyle w:val="Hyperlink"/>
                        <w:i/>
                      </w:rPr>
                      <w:t xml:space="preserve">Australian Institute of Health and Welfare Act 1987 (AIHW Act)</w:t>
                    </w:r>
                  </w:hyperlink>
                  <w:r>
                    <w:rPr>
                      <w:rStyle w:val="row-content-rich-text"/>
                    </w:rPr>
                    <w:t xml:space="preserve">, governed by a </w:t>
                  </w:r>
                  <w:hyperlink w:history="true" r:id="R5f2f94132e5d4bd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320394630cd943b2">
                    <w:r>
                      <w:rPr>
                        <w:rStyle w:val="Hyperlink"/>
                        <w:i/>
                      </w:rPr>
                      <w:t xml:space="preserve">Privacy Act 1988</w:t>
                    </w:r>
                  </w:hyperlink>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b8a9a23768eb4ab1">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4a3b212e2fcc4fba">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7af12bbc76842b0">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90e9cf743df4e2e">
              <w:r>
                <w:rPr>
                  <w:rStyle w:val="Hyperlink"/>
                  <w:i/>
                </w:rPr>
                <w:t xml:space="preserve">Home purchase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 </w:t>
                  </w:r>
                </w:p>
                <w:p>
                  <w:pPr>
                    <w:pStyle w:val="ListParagraph"/>
                    <w:numPr>
                      <w:ilvl w:val="0"/>
                      <w:numId w:val="6"/>
                    </w:numPr>
                  </w:pPr>
                  <w:r>
                    <w:rPr>
                      <w:rStyle w:val="row-content-rich-text"/>
                    </w:rPr>
                    <w:t xml:space="preserve">sale to tenant programs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2018–19 financial year, and</w:t>
                  </w:r>
                </w:p>
                <w:p>
                  <w:pPr>
                    <w:pStyle w:val="ListParagraph"/>
                    <w:numPr>
                      <w:ilvl w:val="0"/>
                      <w:numId w:val="7"/>
                    </w:numPr>
                  </w:pPr>
                  <w:r>
                    <w:rPr>
                      <w:rStyle w:val="row-content-rich-text"/>
                    </w:rPr>
                    <w:t xml:space="preserve">repayable forms of HPA provided prior to the 2018–19 financial year for which monies remain outstanding at the commencement of the 2018–19 financial year.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12% of all households reported in the 2018–19 collection had an unknown Indigenous status. As a result, caution should be taken when interpreting data relating to Indigenous people.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undercounted as it is not collected for some programs. </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 </w:t>
                  </w:r>
                </w:p>
                <w:p>
                  <w:pPr>
                    <w:pStyle w:val="ListParagraph"/>
                    <w:numPr>
                      <w:ilvl w:val="0"/>
                      <w:numId w:val="10"/>
                    </w:numPr>
                  </w:pPr>
                  <w:r>
                    <w:rPr>
                      <w:rStyle w:val="row-content-rich-text"/>
                    </w:rPr>
                    <w:t xml:space="preserve">Gross weekly income is not available. </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 </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 </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This is due to the age of the loans under a direct lending program closed to new applicants and it is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how HPA is reported. For example, Home Purchase Advisory and Counselling Services have been excluded from the collection since 2009–10, meaning comparisons with years prior to 2010–11 should be made with caution.</w:t>
                  </w:r>
                </w:p>
                <w:p>
                  <w:pPr>
                    <w:spacing w:after="160"/>
                  </w:pPr>
                  <w:r>
                    <w:rPr>
                      <w:rStyle w:val="row-content-rich-text"/>
                    </w:rPr>
                    <w:t xml:space="preserve">The gross weekly household income is at the time of application with the following exceptions:</w:t>
                  </w:r>
                </w:p>
                <w:p>
                  <w:pPr>
                    <w:pStyle w:val="ListParagraph"/>
                    <w:numPr>
                      <w:ilvl w:val="0"/>
                      <w:numId w:val="16"/>
                    </w:numPr>
                  </w:pPr>
                  <w:r>
                    <w:rPr>
                      <w:rStyle w:val="row-content-rich-text"/>
                    </w:rPr>
                    <w:t xml:space="preserve">New South Wales—data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6"/>
                    </w:numPr>
                  </w:pPr>
                  <w:r>
                    <w:rPr>
                      <w:rStyle w:val="row-content-rich-text"/>
                    </w:rPr>
                    <w:t xml:space="preserve">Victoria and the Northern Territory—not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7"/>
                    </w:numPr>
                  </w:pPr>
                  <w:r>
                    <w:rPr>
                      <w:rStyle w:val="row-content-rich-text"/>
                    </w:rPr>
                    <w:t xml:space="preserve">Indigenous status of the household is undercounted as it is not collected for some programs. If the programs are no longer offered to new applicants, the data are not updated to reflect the current household status. </w:t>
                  </w:r>
                </w:p>
                <w:p>
                  <w:pPr>
                    <w:spacing w:after="160"/>
                  </w:pPr>
                  <w:r>
                    <w:rPr>
                      <w:rStyle w:val="row-content-rich-text"/>
                      <w:b/>
                    </w:rPr>
                    <w:t xml:space="preserve">Western Australia</w:t>
                  </w:r>
                </w:p>
                <w:p>
                  <w:pPr>
                    <w:pStyle w:val="ListParagraph"/>
                    <w:numPr>
                      <w:ilvl w:val="0"/>
                      <w:numId w:val="18"/>
                    </w:numPr>
                  </w:pPr>
                  <w:r>
                    <w:rPr>
                      <w:rStyle w:val="row-content-rich-text"/>
                    </w:rPr>
                    <w:t xml:space="preserve">From the 2011–12 collection period, there were significant changes in how data were collected:</w:t>
                  </w:r>
                  <w:r>
                    <w:br/>
                  </w:r>
                  <w:r>
                    <w:rPr>
                      <w:rStyle w:val="row-content-rich-text"/>
                    </w:rPr>
                    <w:t xml:space="preserve">        • ‘Other’ assistance reflected waived mortgage insurance on direct lending. Prior to the 2011–12 collection, ‘other’ assistance reflected loans that funded the state’s share of equity in the shared equity dwellings.</w:t>
                  </w:r>
                  <w:r>
                    <w:br/>
                  </w:r>
                  <w:r>
                    <w:rPr>
                      <w:rStyle w:val="row-content-rich-text"/>
                    </w:rPr>
                    <w:t xml:space="preserve">        • The number of households assisted through direct lending reflects both households that were issued loans in the 2011–12 financial year and households that were issued loans in a previous year that had outstanding balances on that assistance. Prior to the 2011–12 collection, only households that were issued loans within the current financial year were reported.</w:t>
                  </w:r>
                  <w:r>
                    <w:br/>
                  </w:r>
                  <w:r>
                    <w:rPr>
                      <w:rStyle w:val="row-content-rich-text"/>
                    </w:rPr>
                    <w:t xml:space="preserve">        • Households with current loans issued before October 2009 with a relatively low variable rate are reported as having received direct lending assistance. Prior to 2011–12, these households were reported as having received interest rate assistance.</w:t>
                  </w:r>
                </w:p>
                <w:p>
                  <w:pPr>
                    <w:spacing w:after="160"/>
                  </w:pPr>
                  <w:r>
                    <w:rPr>
                      <w:rStyle w:val="row-content-rich-text"/>
                    </w:rPr>
                    <w:t xml:space="preserve">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Australian Capital Territory</w:t>
                  </w:r>
                </w:p>
                <w:p>
                  <w:pPr>
                    <w:pStyle w:val="ListParagraph"/>
                    <w:numPr>
                      <w:ilvl w:val="0"/>
                      <w:numId w:val="20"/>
                    </w:numPr>
                  </w:pPr>
                  <w:r>
                    <w:rPr>
                      <w:rStyle w:val="row-content-rich-text"/>
                    </w:rPr>
                    <w:t xml:space="preserve">A shared equity scheme which commenced in 2007 was included for the first time in the ‘direct lending’ category in 2018–19.</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c8400bf394e31">
              <w:r>
                <w:rPr>
                  <w:rStyle w:val="Hyperlink"/>
                </w:rPr>
                <w:t xml:space="preserve">Home Purchase Assistance Collection, 2017–18; Quality Statement</w:t>
              </w:r>
            </w:hyperlink>
          </w:p>
          <w:p>
            <w:pPr>
              <w:spacing w:before="0" w:after="0"/>
            </w:pPr>
            <w:r>
              <w:rPr>
                <w:rStyle w:val="row-content"/>
                <w:color w:val="244061"/>
              </w:rPr>
              <w:t xml:space="preserve">       </w:t>
            </w:r>
            <w:hyperlink w:history="true" r:id="Rb02ededf1acd4b05">
              <w:r>
                <w:rPr>
                  <w:rStyle w:val="Hyperlink"/>
                  <w:color w:val="244061"/>
                </w:rPr>
                <w:t xml:space="preserve">AIHW Data Quality Statements</w:t>
              </w:r>
            </w:hyperlink>
            <w:r>
              <w:rPr>
                <w:rStyle w:val="row-content"/>
                <w:color w:val="244061"/>
              </w:rPr>
              <w:t xml:space="preserve">, Superseded 15/01/2020</w:t>
            </w:r>
          </w:p>
          <w:p>
            <w:r>
              <w:br/>
            </w:r>
            <w:r>
              <w:rPr>
                <w:rStyle w:val="row-content"/>
              </w:rPr>
              <w:t xml:space="preserve">Has been superseded by </w:t>
            </w:r>
            <w:hyperlink w:history="true" r:id="R5a7365d4b26d49b0">
              <w:r>
                <w:rPr>
                  <w:rStyle w:val="Hyperlink"/>
                </w:rPr>
                <w:t xml:space="preserve">Home Purchase Assistance Collection, 2019–20; Quality Statement</w:t>
              </w:r>
            </w:hyperlink>
          </w:p>
          <w:p>
            <w:pPr>
              <w:spacing w:before="0" w:after="0"/>
            </w:pPr>
            <w:r>
              <w:rPr>
                <w:rStyle w:val="row-content"/>
                <w:color w:val="244061"/>
              </w:rPr>
              <w:t xml:space="preserve">       </w:t>
            </w:r>
            <w:hyperlink w:history="true" r:id="R8f376043b58442b3">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7b7a1330bdc5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d1672283a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a1330bdc54145" /><Relationship Type="http://schemas.openxmlformats.org/officeDocument/2006/relationships/header" Target="/word/header1.xml" Id="Rb1883766bbd242f3" /><Relationship Type="http://schemas.openxmlformats.org/officeDocument/2006/relationships/settings" Target="/word/settings.xml" Id="R3912531b75e24ea0" /><Relationship Type="http://schemas.openxmlformats.org/officeDocument/2006/relationships/styles" Target="/word/styles.xml" Id="R78c61350012047b9" /><Relationship Type="http://schemas.openxmlformats.org/officeDocument/2006/relationships/hyperlink" Target="https://meteor.aihw.gov.au/RegistrationAuthority/5" TargetMode="External" Id="Rc3cc59d3f6224f54" /><Relationship Type="http://schemas.openxmlformats.org/officeDocument/2006/relationships/numbering" Target="/word/numbering.xml" Id="R7d3b4902894449a0" /><Relationship Type="http://schemas.openxmlformats.org/officeDocument/2006/relationships/hyperlink" Target="https://www.legislation.gov.au/Series/C2004A03450" TargetMode="External" Id="Rd4d61eec8bc2466d" /><Relationship Type="http://schemas.openxmlformats.org/officeDocument/2006/relationships/hyperlink" Target="http://www.aihw.gov.au/aihw-board/" TargetMode="External" Id="R5f2f94132e5d4bdd" /><Relationship Type="http://schemas.openxmlformats.org/officeDocument/2006/relationships/hyperlink" Target="https://www.legislation.gov.au/Series/C2004A03712" TargetMode="External" Id="R320394630cd943b2" /><Relationship Type="http://schemas.openxmlformats.org/officeDocument/2006/relationships/hyperlink" Target="http://www.aihw.gov.au/" TargetMode="External" Id="Rb8a9a23768eb4ab1" /><Relationship Type="http://schemas.openxmlformats.org/officeDocument/2006/relationships/hyperlink" Target="https://www.aihw.gov.au/reports-statistics/health-welfare-services/housing-assistance/overview" TargetMode="External" Id="R4a3b212e2fcc4fba" /><Relationship Type="http://schemas.openxmlformats.org/officeDocument/2006/relationships/hyperlink" Target="https://www.aihw.gov.au/our-services/data-on-request" TargetMode="External" Id="Rd7af12bbc76842b0" /><Relationship Type="http://schemas.openxmlformats.org/officeDocument/2006/relationships/hyperlink" Target="https://meteor.aihw.gov.au/content/596710" TargetMode="External" Id="R890e9cf743df4e2e" /><Relationship Type="http://schemas.openxmlformats.org/officeDocument/2006/relationships/hyperlink" Target="https://meteor.aihw.gov.au/content/690934" TargetMode="External" Id="R7bac8400bf394e31" /><Relationship Type="http://schemas.openxmlformats.org/officeDocument/2006/relationships/hyperlink" Target="https://meteor.aihw.gov.au/RegistrationAuthority/5" TargetMode="External" Id="Rb02ededf1acd4b05" /><Relationship Type="http://schemas.openxmlformats.org/officeDocument/2006/relationships/hyperlink" Target="https://meteor.aihw.gov.au/content/731026" TargetMode="External" Id="R5a7365d4b26d49b0" /><Relationship Type="http://schemas.openxmlformats.org/officeDocument/2006/relationships/hyperlink" Target="https://meteor.aihw.gov.au/RegistrationAuthority/5" TargetMode="External" Id="R8f376043b58442b3" /></Relationships>
</file>

<file path=word/_rels/header1.xml.rels>&#65279;<?xml version="1.0" encoding="utf-8"?><Relationships xmlns="http://schemas.openxmlformats.org/package/2006/relationships"><Relationship Type="http://schemas.openxmlformats.org/officeDocument/2006/relationships/image" Target="/media/image.png" Id="Rea4d1672283a4695" /></Relationships>
</file>