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656d71ebc446d1"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43cfdfc6d4cfa">
              <w:r>
                <w:rPr>
                  <w:rStyle w:val="Hyperlink"/>
                  <w:color w:val="244061"/>
                </w:rPr>
                <w:t xml:space="preserve">AIHW Data Quality Statements</w:t>
              </w:r>
            </w:hyperlink>
            <w:r>
              <w:rPr>
                <w:rStyle w:val="row-content"/>
                <w:color w:val="244061"/>
              </w:rPr>
              <w:t xml:space="preserve">, Superseded 14/12/2020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496c809c968445e5">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e794205969e6418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c1e9687af7554669">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0e1f501030874573">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2018–19 financial year. The collection is mostly a 30 June 2019 snapshot, but also captures information regarding new households assisted during 2018–19. Limited financial information from the 2017–18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fa322d7591a4f00">
              <w:r>
                <w:rPr>
                  <w:rStyle w:val="Hyperlink"/>
                  <w:i/>
                </w:rPr>
                <w:t xml:space="preserve">Housing assistance in Australia</w:t>
              </w:r>
            </w:hyperlink>
            <w:r>
              <w:rPr>
                <w:rStyle w:val="row-content-rich-text"/>
              </w:rPr>
              <w:t xml:space="preserve"> reports and the Productivity Commission's annual </w:t>
            </w:r>
            <w:hyperlink w:history="true" r:id="Rde41a0e766ad42e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3cd63edf5bc8432f">
              <w:r>
                <w:rPr>
                  <w:rStyle w:val="Hyperlink"/>
                </w:rPr>
                <w:t xml:space="preserve">AIHW’s online data request system.</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82bae12243b7476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a1b87c9223e48cc">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153 community housing organisations, 38 completed the survey tool accounting for 94% of the total dwelling portfolio. This represents an increase from the 91% coverage rate in 2017–18.</w:t>
                  </w:r>
                </w:p>
              </w:tc>
            </w:tr>
            <w:tr>
              <w:trPr/>
              <w:tc>
                <w:tcPr>
                  <w:tcW w:w="1000" w:type="pct"/>
                  <w:vAlign w:val="top"/>
                </w:tcPr>
                <w:p>
                  <w:r>
                    <w:t xml:space="preserve">Victoria</w:t>
                  </w:r>
                </w:p>
              </w:tc>
              <w:tc>
                <w:tcPr>
                  <w:tcW w:w="4000" w:type="pct"/>
                  <w:vAlign w:val="top"/>
                </w:tcPr>
                <w:p>
                  <w:r>
                    <w:t xml:space="preserve">Of the 89 community housing organisations, 68 completed the survey tool. This was a decrease from the 69 community housing organisations who responded to the survey in 2017–18. Information regarding dwellings for which the organisation did not provide unit record data was not reported for 2018–19 so the coverage rate cannot be calculated by the AIHW.</w:t>
                  </w:r>
                </w:p>
              </w:tc>
            </w:tr>
            <w:tr>
              <w:trPr/>
              <w:tc>
                <w:tcPr>
                  <w:tcW w:w="1000" w:type="pct"/>
                  <w:vAlign w:val="top"/>
                </w:tcPr>
                <w:p>
                  <w:r>
                    <w:t xml:space="preserve">Queensland</w:t>
                  </w:r>
                </w:p>
              </w:tc>
              <w:tc>
                <w:tcPr>
                  <w:tcW w:w="4000" w:type="pct"/>
                  <w:vAlign w:val="top"/>
                </w:tcPr>
                <w:p>
                  <w:r>
                    <w:t xml:space="preserve">Of the 112 community housing organisations, 84 completed the survey tool accounting for 99% of the total dwelling portfolio. This represents an increase from the 96% coverage rate in 2017–18.</w:t>
                  </w:r>
                </w:p>
              </w:tc>
            </w:tr>
            <w:tr>
              <w:trPr/>
              <w:tc>
                <w:tcPr>
                  <w:tcW w:w="1000" w:type="pct"/>
                  <w:vAlign w:val="top"/>
                </w:tcPr>
                <w:p>
                  <w:r>
                    <w:t xml:space="preserve">Western Australia</w:t>
                  </w:r>
                </w:p>
              </w:tc>
              <w:tc>
                <w:tcPr>
                  <w:tcW w:w="4000" w:type="pct"/>
                  <w:vAlign w:val="top"/>
                </w:tcPr>
                <w:p>
                  <w:r>
                    <w:t xml:space="preserve">Of the 35 registered community housing organisations, 33 completed the survey tool accounting for 98.9% of the total dwelling portfolio. This represents a slight decrease from the 99.8% coverage rate in 2017–18.</w:t>
                  </w:r>
                </w:p>
              </w:tc>
            </w:tr>
            <w:tr>
              <w:trPr/>
              <w:tc>
                <w:tcPr>
                  <w:tcW w:w="1000" w:type="pct"/>
                  <w:vAlign w:val="top"/>
                </w:tcPr>
                <w:p>
                  <w:r>
                    <w:t xml:space="preserve">South Australia</w:t>
                  </w:r>
                </w:p>
              </w:tc>
              <w:tc>
                <w:tcPr>
                  <w:tcW w:w="4000" w:type="pct"/>
                  <w:vAlign w:val="top"/>
                </w:tcPr>
                <w:p>
                  <w:r>
                    <w:t xml:space="preserve">All of the 34 community housing organisations completed the survey tool covering 100% of the total dwelling portfolio. This represents a slight increase from the 99.8% coverage rate in 2017–18.</w:t>
                  </w:r>
                </w:p>
              </w:tc>
            </w:tr>
            <w:tr>
              <w:trPr/>
              <w:tc>
                <w:tcPr>
                  <w:tcW w:w="1000" w:type="pct"/>
                  <w:vAlign w:val="top"/>
                </w:tcPr>
                <w:p>
                  <w:r>
                    <w:t xml:space="preserve">Tasmania</w:t>
                  </w:r>
                </w:p>
              </w:tc>
              <w:tc>
                <w:tcPr>
                  <w:tcW w:w="4000" w:type="pct"/>
                  <w:vAlign w:val="top"/>
                </w:tcPr>
                <w:p>
                  <w:r>
                    <w:t xml:space="preserve">Of the 51 community housing organisations, 48 completed the survey tool. This was an increase from the 34 community housing organisations who responded to the survey in 2017–18. Information regarding dwellings for which the organisation did not provide unit record data was not reported for 2018–19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2017–18.</w:t>
                  </w:r>
                </w:p>
              </w:tc>
            </w:tr>
            <w:tr>
              <w:trPr/>
              <w:tc>
                <w:tcPr>
                  <w:tcW w:w="1000" w:type="pct"/>
                  <w:vAlign w:val="top"/>
                </w:tcPr>
                <w:p>
                  <w:r>
                    <w:t xml:space="preserve">Northern Territory</w:t>
                  </w:r>
                </w:p>
              </w:tc>
              <w:tc>
                <w:tcPr>
                  <w:tcW w:w="4000" w:type="pct"/>
                  <w:vAlign w:val="top"/>
                </w:tcPr>
                <w:p>
                  <w:r>
                    <w:t xml:space="preserve">Only administrative data was provided for 37 community housing organisations. This is an increase from the 33 community housing organisations that administrative data were provided for in 2017–18.</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South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 In New South Wales,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improved in 2018–19.</w:t>
            </w:r>
          </w:p>
          <w:p>
            <w:pPr>
              <w:pStyle w:val="ListParagraph"/>
              <w:numPr>
                <w:ilvl w:val="0"/>
                <w:numId w:val="4"/>
              </w:numPr>
            </w:pPr>
            <w:r>
              <w:t xml:space="preserve">Improved data quality resulted in more accurate calculation of household composition and number of bedrooms required.</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For transitional housing, the smallest unit of rentable space is a bed rather than a room. Therefore transitional housing permits multiple tenancies to a bedroom.</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A reporting error by one CHO affecting a large number of dwellings has led to inflated underutilisation figures for the state.</w:t>
            </w:r>
          </w:p>
          <w:p>
            <w:pPr>
              <w:pStyle w:val="ListParagraph"/>
              <w:numPr>
                <w:ilvl w:val="0"/>
                <w:numId w:val="5"/>
              </w:numPr>
            </w:pPr>
            <w:r>
              <w:t xml:space="preserve">For one CHO, program type was coded to ‘other’ by default.</w:t>
            </w:r>
          </w:p>
          <w:p>
            <w:r>
              <w:rPr>
                <w:b/>
              </w:rPr>
              <w:t xml:space="preserve">Queensland</w:t>
            </w:r>
          </w:p>
          <w:p>
            <w:pPr>
              <w:pStyle w:val="ListParagraph"/>
              <w:numPr>
                <w:ilvl w:val="0"/>
                <w:numId w:val="6"/>
              </w:numPr>
            </w:pPr>
            <w:r>
              <w:t xml:space="preserve">Since 2016–17, data have only been provided for current tenancies and households as at 30 June. Thus care is advised when comparing data for 2016–17 onwards with that of previous years.</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 CHOs charge a flat fee for board or lodging and may include support care, utility and communal costs. Additionally, some rents are set as a fixed percentage of the market rent rather than using incomes to calculate the rent payable.</w:t>
            </w:r>
          </w:p>
          <w:p>
            <w:r>
              <w:rPr>
                <w:b/>
              </w:rPr>
              <w:t xml:space="preserve">Tasmania</w:t>
            </w:r>
          </w:p>
          <w:p>
            <w:pPr>
              <w:pStyle w:val="ListParagraph"/>
              <w:numPr>
                <w:ilvl w:val="0"/>
                <w:numId w:val="8"/>
              </w:numPr>
            </w:pPr>
            <w:r>
              <w:t xml:space="preserve">Survey data received from CHOs contained a large number of errors and a high proportion of ‘unknown’ data. While substantial data cleaning was undertaken, it is likely that data quality issues still exist.</w:t>
            </w:r>
          </w:p>
          <w:p>
            <w:r>
              <w:rPr>
                <w:b/>
              </w:rPr>
              <w:t xml:space="preserve">Australian Capital Territory</w:t>
            </w:r>
          </w:p>
          <w:p>
            <w:pPr>
              <w:pStyle w:val="ListParagraph"/>
              <w:numPr>
                <w:ilvl w:val="0"/>
                <w:numId w:val="9"/>
              </w:numPr>
            </w:pPr>
            <w:r>
              <w:t xml:space="preserve">Integrated waitlist data are unable to differentiate between new applicants and applicants requesting a transfer. The use of separate community housing organisation managed waiting lists has grown over time. Consequently, some households on a waiting list may be counted more than once.</w:t>
            </w:r>
          </w:p>
          <w:p>
            <w:pPr>
              <w:pStyle w:val="ListParagraph"/>
              <w:numPr>
                <w:ilvl w:val="0"/>
                <w:numId w:val="9"/>
              </w:numPr>
            </w:pPr>
            <w:r>
              <w:t xml:space="preserve">Rent has not been reported for some tenants (with ending tenancies) who had a negative rent payment (refund) in the last week of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South Australia, the Australian Capital Territory and the Northern Territory each have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0"/>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Low income cut-offs for 2018–19 are based on 2017–18 SIH results. Care is required when comparing low income measures over time.</w:t>
            </w:r>
          </w:p>
          <w:p>
            <w:pPr>
              <w:pStyle w:val="ListParagraph"/>
              <w:numPr>
                <w:ilvl w:val="0"/>
                <w:numId w:val="10"/>
              </w:numPr>
            </w:pPr>
            <w:r>
              <w:rPr>
                <w:rStyle w:val="row-content-rich-text"/>
              </w:rPr>
              <w:t xml:space="preserve">Due to turnover of staff at some CHOs and variation in coding practices, the classification of some program types and dwelling types vary from year to year. Thus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New South Wales reported NRAS dwellings for the first time in 2015–16.</w:t>
            </w:r>
          </w:p>
          <w:p>
            <w:pPr>
              <w:pStyle w:val="ListParagraph"/>
              <w:numPr>
                <w:ilvl w:val="0"/>
                <w:numId w:val="11"/>
              </w:numPr>
            </w:pPr>
            <w:r>
              <w:rPr>
                <w:rStyle w:val="row-content-rich-text"/>
              </w:rPr>
              <w:t xml:space="preserve">For 2015–16 and 2016–17, NRAS dwellings were excluded from the calculation of the occupancy rate.</w:t>
            </w:r>
          </w:p>
          <w:p>
            <w:pPr>
              <w:pStyle w:val="ListParagraph"/>
              <w:numPr>
                <w:ilvl w:val="0"/>
                <w:numId w:val="11"/>
              </w:numPr>
            </w:pPr>
            <w:r>
              <w:rPr>
                <w:rStyle w:val="row-content-rich-text"/>
              </w:rPr>
              <w:t xml:space="preserve">Data for additional affordable housing properties have been included for the first time from 2016–17.</w:t>
            </w:r>
          </w:p>
          <w:p>
            <w:pPr>
              <w:pStyle w:val="ListParagraph"/>
              <w:numPr>
                <w:ilvl w:val="0"/>
                <w:numId w:val="11"/>
              </w:numPr>
            </w:pPr>
            <w:r>
              <w:rPr>
                <w:rStyle w:val="row-content-rich-text"/>
              </w:rPr>
              <w:t xml:space="preserve">In 2017–18, ‘other’ community housing program dwellings were reported for the first time. In New South Wales, ‘other’ refers to non-NRAS affordable housing.</w:t>
            </w:r>
          </w:p>
          <w:p>
            <w:pPr>
              <w:spacing w:after="160"/>
            </w:pPr>
            <w:r>
              <w:rPr>
                <w:rStyle w:val="row-content-rich-text"/>
                <w:b/>
              </w:rPr>
              <w:t xml:space="preserve">Victoria</w:t>
            </w:r>
          </w:p>
          <w:p>
            <w:pPr>
              <w:pStyle w:val="ListParagraph"/>
              <w:numPr>
                <w:ilvl w:val="0"/>
                <w:numId w:val="12"/>
              </w:numPr>
            </w:pPr>
            <w:r>
              <w:rPr>
                <w:rStyle w:val="row-content-rich-text"/>
              </w:rPr>
              <w:t xml:space="preserve">In 2016–17, reduced survey returns from CHOs resulted in a decrease in net recurrent costs per unit and total rents charged. Thus, care is advised when comparing data for 2016–17 with previous years.</w:t>
            </w:r>
          </w:p>
          <w:p>
            <w:pPr>
              <w:pStyle w:val="ListParagraph"/>
              <w:numPr>
                <w:ilvl w:val="0"/>
                <w:numId w:val="12"/>
              </w:numPr>
            </w:pPr>
            <w:r>
              <w:rPr>
                <w:rStyle w:val="row-content-rich-text"/>
              </w:rPr>
              <w:t xml:space="preserve">Community housing applications are being transferred to the Victorian Housing Register which will integrate public and community housing waiting lists. A review of current housing applications (which commenced in 2016–17) to remove those that are duplicates, inaccurate or out of date continues. This could have contributed to the decrease in waitlist numbers in 2016–17.</w:t>
            </w:r>
          </w:p>
          <w:p>
            <w:pPr>
              <w:spacing w:after="160"/>
            </w:pPr>
            <w:r>
              <w:rPr>
                <w:rStyle w:val="row-content-rich-text"/>
                <w:b/>
              </w:rPr>
              <w:t xml:space="preserve">Queensland</w:t>
            </w:r>
          </w:p>
          <w:p>
            <w:pPr>
              <w:pStyle w:val="ListParagraph"/>
              <w:numPr>
                <w:ilvl w:val="0"/>
                <w:numId w:val="13"/>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3"/>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3"/>
              </w:numPr>
            </w:pPr>
            <w:r>
              <w:rPr>
                <w:rStyle w:val="row-content-rich-text"/>
              </w:rPr>
              <w:t xml:space="preserve">In 2016–17, due to a change in policy, all applicants on the housing waitlist for social rental housing were counted, whereas in previous years only those listed for community housing were counted. Thus data for 2016–17 onwards are not comparable with that of previous years.</w:t>
            </w:r>
          </w:p>
          <w:p>
            <w:pPr>
              <w:pStyle w:val="ListParagraph"/>
              <w:numPr>
                <w:ilvl w:val="0"/>
                <w:numId w:val="13"/>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better identification of households with Indigenous members.</w:t>
            </w:r>
          </w:p>
          <w:p>
            <w:pPr>
              <w:pStyle w:val="ListParagraph"/>
              <w:numPr>
                <w:ilvl w:val="0"/>
                <w:numId w:val="14"/>
              </w:numPr>
            </w:pPr>
            <w:r>
              <w:rPr>
                <w:rStyle w:val="row-content-rich-text"/>
              </w:rP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4"/>
              </w:numPr>
            </w:pPr>
            <w:r>
              <w:rPr>
                <w:rStyle w:val="row-content-rich-text"/>
              </w:rPr>
              <w:t xml:space="preserve">A new organisation responded to the survey for the first time in 2017–18, contributing nearly 600 additional applicants to the waitlist. This organisation did not respond in 2018–19.</w:t>
            </w:r>
          </w:p>
          <w:p>
            <w:pPr>
              <w:pStyle w:val="ListParagraph"/>
              <w:numPr>
                <w:ilvl w:val="0"/>
                <w:numId w:val="14"/>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spacing w:after="160"/>
            </w:pPr>
            <w:r>
              <w:rPr>
                <w:rStyle w:val="row-content-rich-text"/>
                <w:b/>
              </w:rPr>
              <w:t xml:space="preserve">South Australia</w:t>
            </w:r>
          </w:p>
          <w:p>
            <w:pPr>
              <w:pStyle w:val="ListParagraph"/>
              <w:numPr>
                <w:ilvl w:val="0"/>
                <w:numId w:val="15"/>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In 2016–17, a single housing register was implemented for public and community housing resulting in an increase in the number of applicants on the waiting list. Thus, caution is advised when comparing data from 2016–17 onwards with previous years.</w:t>
            </w:r>
          </w:p>
          <w:p>
            <w:pPr>
              <w:pStyle w:val="ListParagraph"/>
              <w:numPr>
                <w:ilvl w:val="0"/>
                <w:numId w:val="15"/>
              </w:numPr>
            </w:pPr>
            <w:r>
              <w:rPr>
                <w:rStyle w:val="row-content-rich-text"/>
              </w:rPr>
              <w:t xml:space="preserve">From 2018–19, transitional housing data were included.</w:t>
            </w:r>
          </w:p>
          <w:p>
            <w:pPr>
              <w:spacing w:after="160"/>
            </w:pPr>
            <w:r>
              <w:rPr>
                <w:rStyle w:val="row-content-rich-text"/>
              </w:rPr>
              <w:t xml:space="preserve"> </w:t>
            </w:r>
            <w:r>
              <w:rPr>
                <w:rStyle w:val="row-content-rich-text"/>
                <w:b/>
              </w:rPr>
              <w:t xml:space="preserve">Tasmania</w:t>
            </w:r>
          </w:p>
          <w:p>
            <w:pPr>
              <w:pStyle w:val="ListParagraph"/>
              <w:numPr>
                <w:ilvl w:val="0"/>
                <w:numId w:val="16"/>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From 2018–19, data for applicants for transfer relate to information captured by community housing organisations and not the shared waitlist.</w:t>
            </w:r>
          </w:p>
          <w:p>
            <w:pPr>
              <w:spacing w:after="160"/>
            </w:pPr>
            <w:r>
              <w:rPr>
                <w:rStyle w:val="row-content-rich-text"/>
                <w:b/>
              </w:rPr>
              <w:t xml:space="preserve">Northern Territory</w:t>
            </w:r>
          </w:p>
          <w:p>
            <w:pPr>
              <w:pStyle w:val="ListParagraph"/>
              <w:numPr>
                <w:ilvl w:val="0"/>
                <w:numId w:val="18"/>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c6bc0c96a4fd6">
              <w:r>
                <w:rPr>
                  <w:rStyle w:val="Hyperlink"/>
                </w:rPr>
                <w:t xml:space="preserve">Community Housing Data Collection, 2017–18; Quality Statement</w:t>
              </w:r>
            </w:hyperlink>
          </w:p>
          <w:p>
            <w:pPr>
              <w:pStyle w:val="registration-status"/>
              <w:spacing w:before="0" w:after="0"/>
            </w:pPr>
            <w:hyperlink w:history="true" r:id="Re743663c3bff4add">
              <w:r>
                <w:rPr>
                  <w:rStyle w:val="Hyperlink"/>
                  <w:color w:val="244061"/>
                </w:rPr>
                <w:t xml:space="preserve">AIHW Data Quality Statements</w:t>
              </w:r>
            </w:hyperlink>
            <w:r>
              <w:rPr>
                <w:rStyle w:val="row-content"/>
                <w:color w:val="244061"/>
              </w:rPr>
              <w:t xml:space="preserve">, Superseded 19/12/2019</w:t>
            </w:r>
          </w:p>
          <w:p>
            <w:r>
              <w:br/>
            </w:r>
            <w:r>
              <w:rPr>
                <w:rStyle w:val="row-content"/>
              </w:rPr>
              <w:t xml:space="preserve">Has been superseded by </w:t>
            </w:r>
            <w:hyperlink w:history="true" r:id="R6a010d9ec2834bdc">
              <w:r>
                <w:rPr>
                  <w:rStyle w:val="Hyperlink"/>
                </w:rPr>
                <w:t xml:space="preserve">Community Housing Data Collection, 2019–20; Quality Statement</w:t>
              </w:r>
            </w:hyperlink>
          </w:p>
          <w:p>
            <w:pPr>
              <w:pStyle w:val="registration-status"/>
              <w:spacing w:before="0" w:after="0"/>
            </w:pPr>
            <w:hyperlink w:history="true" r:id="R35bdeea10c5f4910">
              <w:r>
                <w:rPr>
                  <w:rStyle w:val="Hyperlink"/>
                  <w:color w:val="244061"/>
                </w:rPr>
                <w:t xml:space="preserve">AIHW Data Quality Statements</w:t>
              </w:r>
            </w:hyperlink>
            <w:r>
              <w:rPr>
                <w:rStyle w:val="row-content"/>
                <w:color w:val="244061"/>
              </w:rPr>
              <w:t xml:space="preserve">, Superseded 13/01/2022</w:t>
            </w:r>
          </w:p>
          <w:p>
            <w:r>
              <w:br/>
            </w:r>
          </w:p>
        </w:tc>
      </w:tr>
    </w:tbl>
    <w:p>
      <w:r>
        <w:br/>
      </w:r>
    </w:p>
    <w:sectPr>
      <w:footerReference xmlns:r="http://schemas.openxmlformats.org/officeDocument/2006/relationships" w:type="default" r:id="R587ba67a47ed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721476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04d9d5563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ba67a47ed45a3" /><Relationship Type="http://schemas.openxmlformats.org/officeDocument/2006/relationships/header" Target="/word/header1.xml" Id="R7f7f201690d14276" /><Relationship Type="http://schemas.openxmlformats.org/officeDocument/2006/relationships/settings" Target="/word/settings.xml" Id="R7db99eb0fcd842c0" /><Relationship Type="http://schemas.openxmlformats.org/officeDocument/2006/relationships/styles" Target="/word/styles.xml" Id="R191ea44d94044344" /><Relationship Type="http://schemas.openxmlformats.org/officeDocument/2006/relationships/numbering" Target="/word/numbering.xml" Id="R5328c1d1ddb34998" /><Relationship Type="http://schemas.openxmlformats.org/officeDocument/2006/relationships/hyperlink" Target="https://meteor.aihw.gov.au/RegistrationAuthority/5" TargetMode="External" Id="R6d343cfdfc6d4cfa" /><Relationship Type="http://schemas.openxmlformats.org/officeDocument/2006/relationships/hyperlink" Target="https://www.legislation.gov.au/Series/C2004A03450" TargetMode="External" Id="R496c809c968445e5" /><Relationship Type="http://schemas.openxmlformats.org/officeDocument/2006/relationships/hyperlink" Target="https://www.aihw.gov.au/about-us/our-governance" TargetMode="External" Id="Re794205969e6418f" /><Relationship Type="http://schemas.openxmlformats.org/officeDocument/2006/relationships/hyperlink" Target="https://www.legislation.gov.au/Series/C2004A03712" TargetMode="External" Id="Rc1e9687af7554669" /><Relationship Type="http://schemas.openxmlformats.org/officeDocument/2006/relationships/hyperlink" Target="http://www.aihw.gov.au/" TargetMode="External" Id="R0e1f501030874573" /><Relationship Type="http://schemas.openxmlformats.org/officeDocument/2006/relationships/hyperlink" Target="https://www.aihw.gov.au/reports-statistics/health-welfare-services/housing-assistance/overview" TargetMode="External" Id="Refa322d7591a4f00" /><Relationship Type="http://schemas.openxmlformats.org/officeDocument/2006/relationships/hyperlink" Target="http://www.pc.gov.au/research/ongoing/report-on-government-services" TargetMode="External" Id="Rde41a0e766ad42e7" /><Relationship Type="http://schemas.openxmlformats.org/officeDocument/2006/relationships/hyperlink" Target="https://www.aihw.gov.au/our-services/data-on-request" TargetMode="External" Id="R3cd63edf5bc8432f" /><Relationship Type="http://schemas.openxmlformats.org/officeDocument/2006/relationships/hyperlink" Target="mailto:info@aihw.gov.au" TargetMode="External" Id="R82bae12243b74766" /><Relationship Type="http://schemas.openxmlformats.org/officeDocument/2006/relationships/hyperlink" Target="https://meteor.aihw.gov.au/content/710899" TargetMode="External" Id="R0a1b87c9223e48cc" /><Relationship Type="http://schemas.openxmlformats.org/officeDocument/2006/relationships/hyperlink" Target="https://meteor.aihw.gov.au/content/690943" TargetMode="External" Id="Ra80c6bc0c96a4fd6" /><Relationship Type="http://schemas.openxmlformats.org/officeDocument/2006/relationships/hyperlink" Target="https://meteor.aihw.gov.au/RegistrationAuthority/5" TargetMode="External" Id="Re743663c3bff4add" /><Relationship Type="http://schemas.openxmlformats.org/officeDocument/2006/relationships/hyperlink" Target="https://meteor.aihw.gov.au/content/731020" TargetMode="External" Id="R6a010d9ec2834bdc" /><Relationship Type="http://schemas.openxmlformats.org/officeDocument/2006/relationships/hyperlink" Target="https://meteor.aihw.gov.au/RegistrationAuthority/5" TargetMode="External" Id="R35bdeea10c5f4910" /></Relationships>
</file>

<file path=word/_rels/header1.xml.rels>&#65279;<?xml version="1.0" encoding="utf-8"?><Relationships xmlns="http://schemas.openxmlformats.org/package/2006/relationships"><Relationship Type="http://schemas.openxmlformats.org/officeDocument/2006/relationships/image" Target="/media/image.png" Id="R9c604d9d5563448f" /></Relationships>
</file>