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dcf88f306241ac" /></Relationships>
</file>

<file path=word/document.xml><?xml version="1.0" encoding="utf-8"?>
<w:document xmlns:r="http://schemas.openxmlformats.org/officeDocument/2006/relationships" xmlns:w="http://schemas.openxmlformats.org/wordprocessingml/2006/main">
  <w:body>
    <w:p>
      <w:pPr>
        <w:pStyle w:val="Title"/>
      </w:pPr>
      <w:r>
        <w:t>Ischaemic stroke (Acute stroke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Ischaemic stroke (Acute stroke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9ff1459d864ace">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ischaemic stroke is a type of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b6d3eb11acad4adb">
              <w:r>
                <w:rPr>
                  <w:rStyle w:val="Hyperlink"/>
                  <w:b/>
                </w:rPr>
                <w:t xml:space="preserve">acute stroke</w:t>
              </w:r>
            </w:hyperlink>
            <w:r>
              <w:rPr>
                <w:rStyle w:val="row-content-rich-text"/>
              </w:rPr>
              <w:t xml:space="preserve"> that occurs when an artery supplying blood to the brain suddenly becomes blocked This is as opposed to a bleed from an artery, which is known as a </w:t>
            </w:r>
            <w:hyperlink w:tooltip="A haemorrhagic stroke is a type of acute stroke that occurs when an artery begins to bleed. This is as opposed to an ischaemic stroke, where an artery supplying blood to the brain suddenly becomes blocked (AIHW 2013)." w:history="true" r:id="R88a9311c19f04a79">
              <w:r>
                <w:rPr>
                  <w:rStyle w:val="Hyperlink"/>
                  <w:b/>
                </w:rPr>
                <w:t xml:space="preserve">haemorrhagic stroke</w:t>
              </w:r>
            </w:hyperlink>
            <w:r>
              <w:rPr>
                <w:rStyle w:val="row-content-rich-text"/>
              </w:rPr>
              <w:t xml:space="preserve"> (AIHW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acute stroke clinical care standard (ACSQHC 2019), ischaemic stroke includes patients where </w:t>
            </w:r>
            <w:hyperlink w:history="true" r:id="Rc86c73ae0f004643">
              <w:r>
                <w:rPr>
                  <w:rStyle w:val="Hyperlink"/>
                </w:rPr>
                <w:t xml:space="preserve">Episode of care—principal diagnosis, code (ICD-10-AM 11th edn) ANN{.N[N]}</w:t>
              </w:r>
            </w:hyperlink>
            <w:r>
              <w:rPr>
                <w:rStyle w:val="row-content-rich-text"/>
              </w:rPr>
              <w:t xml:space="preserve"> or </w:t>
            </w:r>
            <w:hyperlink w:history="true" r:id="Rc2cb9c3d600a43f6">
              <w:r>
                <w:rPr>
                  <w:rStyle w:val="Hyperlink"/>
                </w:rPr>
                <w:t xml:space="preserve">Episode of care—additional diagnosis, code (ICD-10-AM 11th edn) ANN{.N[N]}</w:t>
              </w:r>
            </w:hyperlink>
            <w:r>
              <w:rPr>
                <w:rStyle w:val="row-content-rich-text"/>
              </w:rPr>
              <w:t xml:space="preserve"> (only when sequenced as one of the first two additional diagnoses) is one of the following:</w:t>
            </w:r>
          </w:p>
          <w:p>
            <w:pPr>
              <w:pStyle w:val="ListParagraph"/>
              <w:numPr>
                <w:ilvl w:val="0"/>
                <w:numId w:val="2"/>
              </w:numPr>
            </w:pPr>
            <w:r>
              <w:rPr>
                <w:rStyle w:val="row-content-rich-text"/>
              </w:rPr>
              <w:t xml:space="preserve">I63.0 Cerebral infarction due to thrombosis of precerebral arteries</w:t>
            </w:r>
          </w:p>
          <w:p>
            <w:pPr>
              <w:pStyle w:val="ListParagraph"/>
              <w:numPr>
                <w:ilvl w:val="0"/>
                <w:numId w:val="2"/>
              </w:numPr>
            </w:pPr>
            <w:r>
              <w:rPr>
                <w:rStyle w:val="row-content-rich-text"/>
              </w:rPr>
              <w:t xml:space="preserve">I63.1 Cerebral infarction due to embolism of precerebral arteries</w:t>
            </w:r>
          </w:p>
          <w:p>
            <w:pPr>
              <w:pStyle w:val="ListParagraph"/>
              <w:numPr>
                <w:ilvl w:val="0"/>
                <w:numId w:val="2"/>
              </w:numPr>
            </w:pPr>
            <w:r>
              <w:rPr>
                <w:rStyle w:val="row-content-rich-text"/>
              </w:rPr>
              <w:t xml:space="preserve">I63.2 Cerebral infarction due to unspecified occlusion or stenosis of precerebral arteries</w:t>
            </w:r>
          </w:p>
          <w:p>
            <w:pPr>
              <w:pStyle w:val="ListParagraph"/>
              <w:numPr>
                <w:ilvl w:val="0"/>
                <w:numId w:val="2"/>
              </w:numPr>
            </w:pPr>
            <w:r>
              <w:rPr>
                <w:rStyle w:val="row-content-rich-text"/>
              </w:rPr>
              <w:t xml:space="preserve">I63.3 Cerebral infarction due to thrombosis of cerebral arteries</w:t>
            </w:r>
          </w:p>
          <w:p>
            <w:pPr>
              <w:pStyle w:val="ListParagraph"/>
              <w:numPr>
                <w:ilvl w:val="0"/>
                <w:numId w:val="2"/>
              </w:numPr>
            </w:pPr>
            <w:r>
              <w:rPr>
                <w:rStyle w:val="row-content-rich-text"/>
              </w:rPr>
              <w:t xml:space="preserve">I63.4 Cerebral infarction due to embolism of cerebral arteries</w:t>
            </w:r>
          </w:p>
          <w:p>
            <w:pPr>
              <w:pStyle w:val="ListParagraph"/>
              <w:numPr>
                <w:ilvl w:val="0"/>
                <w:numId w:val="2"/>
              </w:numPr>
            </w:pPr>
            <w:r>
              <w:rPr>
                <w:rStyle w:val="row-content-rich-text"/>
              </w:rPr>
              <w:t xml:space="preserve">I63.5 Cerebral infarction due to unspecified occlusion or stenosis of cerebral arteries</w:t>
            </w:r>
          </w:p>
          <w:p>
            <w:pPr>
              <w:pStyle w:val="ListParagraph"/>
              <w:numPr>
                <w:ilvl w:val="0"/>
                <w:numId w:val="2"/>
              </w:numPr>
            </w:pPr>
            <w:r>
              <w:rPr>
                <w:rStyle w:val="row-content-rich-text"/>
              </w:rPr>
              <w:t xml:space="preserve">I63.6 Cerebral infarction due to cerebral venous thrombosis, nonpyogenic</w:t>
            </w:r>
          </w:p>
          <w:p>
            <w:pPr>
              <w:pStyle w:val="ListParagraph"/>
              <w:numPr>
                <w:ilvl w:val="0"/>
                <w:numId w:val="2"/>
              </w:numPr>
            </w:pPr>
            <w:r>
              <w:rPr>
                <w:rStyle w:val="row-content-rich-text"/>
              </w:rPr>
              <w:t xml:space="preserve">I63.8 Other cerebral infarction</w:t>
            </w:r>
          </w:p>
          <w:p>
            <w:pPr>
              <w:pStyle w:val="ListParagraph"/>
              <w:numPr>
                <w:ilvl w:val="0"/>
                <w:numId w:val="2"/>
              </w:numPr>
            </w:pPr>
            <w:r>
              <w:rPr>
                <w:rStyle w:val="row-content-rich-text"/>
              </w:rPr>
              <w:t xml:space="preserve">I63.9 Cerebral infarction, unspecified</w:t>
            </w:r>
          </w:p>
          <w:p>
            <w:pPr>
              <w:pStyle w:val="ListParagraph"/>
              <w:numPr>
                <w:ilvl w:val="0"/>
                <w:numId w:val="2"/>
              </w:numPr>
            </w:pPr>
            <w:r>
              <w:rPr>
                <w:rStyle w:val="row-content-rich-text"/>
              </w:rPr>
              <w:t xml:space="preserve">I64 Stroke, not specified as haemorrhage or infarction.</w:t>
            </w:r>
          </w:p>
          <w:p>
            <w:pPr>
              <w:spacing w:after="160"/>
            </w:pPr>
            <w:r>
              <w:rPr>
                <w:rStyle w:val="row-content-rich-text"/>
              </w:rPr>
              <w:t xml:space="preserve">It also only includes acute cases, that is, where the </w:t>
            </w:r>
            <w:hyperlink w:history="true" r:id="R8334d6b872a74b05">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It specifically excludes transient ischaemic attack. This is where </w:t>
            </w:r>
            <w:hyperlink w:history="true" r:id="R5d881f79ed2e4f3b">
              <w:r>
                <w:rPr>
                  <w:rStyle w:val="Hyperlink"/>
                </w:rPr>
                <w:t xml:space="preserve">Episode of care—principal diagnosis, code (ICD-10-AM 11th edn) ANN{.N[N]}</w:t>
              </w:r>
            </w:hyperlink>
            <w:r>
              <w:rPr>
                <w:rStyle w:val="row-content-rich-text"/>
              </w:rPr>
              <w:t xml:space="preserve"> or </w:t>
            </w:r>
            <w:hyperlink w:history="true" r:id="R4fa85f3660e74e1d">
              <w:r>
                <w:rPr>
                  <w:rStyle w:val="Hyperlink"/>
                </w:rPr>
                <w:t xml:space="preserve">Episode of care—additional diagnosis, code (ICD-10-AM 11th edn) ANN{.N[N]}</w:t>
              </w:r>
            </w:hyperlink>
            <w:r>
              <w:rPr>
                <w:rStyle w:val="row-content-rich-text"/>
              </w:rPr>
              <w:t xml:space="preserve"> (only when sequenced as one of the first two additional diagnoses) is one of the following:</w:t>
            </w:r>
          </w:p>
          <w:p>
            <w:pPr>
              <w:pStyle w:val="ListParagraph"/>
              <w:numPr>
                <w:ilvl w:val="0"/>
                <w:numId w:val="3"/>
              </w:numPr>
            </w:pPr>
            <w:r>
              <w:rPr>
                <w:rStyle w:val="row-content-rich-text"/>
              </w:rPr>
              <w:t xml:space="preserve">G45.0 Vertebro-basilar artery syndrome</w:t>
            </w:r>
          </w:p>
          <w:p>
            <w:pPr>
              <w:pStyle w:val="ListParagraph"/>
              <w:numPr>
                <w:ilvl w:val="0"/>
                <w:numId w:val="3"/>
              </w:numPr>
            </w:pPr>
            <w:r>
              <w:rPr>
                <w:rStyle w:val="row-content-rich-text"/>
              </w:rPr>
              <w:t xml:space="preserve">G45.1 Carotid artery syndrome (hemispheric)</w:t>
            </w:r>
          </w:p>
          <w:p>
            <w:pPr>
              <w:pStyle w:val="ListParagraph"/>
              <w:numPr>
                <w:ilvl w:val="0"/>
                <w:numId w:val="3"/>
              </w:numPr>
            </w:pPr>
            <w:r>
              <w:rPr>
                <w:rStyle w:val="row-content-rich-text"/>
              </w:rPr>
              <w:t xml:space="preserve">G45.2 Multiple and bilateral precerebral artery syndromes</w:t>
            </w:r>
          </w:p>
          <w:p>
            <w:pPr>
              <w:pStyle w:val="ListParagraph"/>
              <w:numPr>
                <w:ilvl w:val="0"/>
                <w:numId w:val="3"/>
              </w:numPr>
            </w:pPr>
            <w:r>
              <w:rPr>
                <w:rStyle w:val="row-content-rich-text"/>
              </w:rPr>
              <w:t xml:space="preserve">G45.3 Amaurosis fugax</w:t>
            </w:r>
          </w:p>
          <w:p>
            <w:pPr>
              <w:pStyle w:val="ListParagraph"/>
              <w:numPr>
                <w:ilvl w:val="0"/>
                <w:numId w:val="3"/>
              </w:numPr>
            </w:pPr>
            <w:r>
              <w:rPr>
                <w:rStyle w:val="row-content-rich-text"/>
              </w:rPr>
              <w:t xml:space="preserve">G45.4 Transient global amnesia</w:t>
            </w:r>
          </w:p>
          <w:p>
            <w:pPr>
              <w:pStyle w:val="ListParagraph"/>
              <w:numPr>
                <w:ilvl w:val="0"/>
                <w:numId w:val="3"/>
              </w:numPr>
            </w:pPr>
            <w:r>
              <w:rPr>
                <w:rStyle w:val="row-content-rich-text"/>
              </w:rPr>
              <w:t xml:space="preserve">G45.8 Other transient cerebral ischaemic attacks and related syndromes</w:t>
            </w:r>
          </w:p>
          <w:p>
            <w:pPr>
              <w:pStyle w:val="ListParagraph"/>
              <w:numPr>
                <w:ilvl w:val="0"/>
                <w:numId w:val="3"/>
              </w:numPr>
            </w:pPr>
            <w:r>
              <w:rPr>
                <w:rStyle w:val="row-content-rich-text"/>
              </w:rPr>
              <w:t xml:space="preserve">G45.9 Transient cerebral ischaemic attack, unspecified (impending cerebrovascular accident/spasm of cerebral artery/ transient cerebral ischaemia NOS).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2019. Acute stroke clinical care standard. Sydney: ACSQHC.</w:t>
            </w:r>
          </w:p>
          <w:p>
            <w:pPr/>
            <w:r>
              <w:rPr>
                <w:rStyle w:val="row-content-rich-text"/>
              </w:rPr>
              <w:t xml:space="preserve">AIHW (Australian Institute of Health and Welfare) 2013. Stroke and its management in Australia: an update.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421d351f71448e">
              <w:r>
                <w:rPr>
                  <w:rStyle w:val="Hyperlink"/>
                </w:rPr>
                <w:t xml:space="preserve">Acute stroke clinical care standard indicators: 2a-Proportion of patients with a final diagnosis of ischaemic stroke who were provided thrombolysis, 2019-</w:t>
              </w:r>
            </w:hyperlink>
          </w:p>
          <w:p>
            <w:pPr>
              <w:spacing w:before="0" w:after="0"/>
            </w:pPr>
            <w:r>
              <w:rPr>
                <w:rStyle w:val="row-content"/>
                <w:color w:val="244061"/>
              </w:rPr>
              <w:t xml:space="preserve">       </w:t>
            </w:r>
            <w:hyperlink w:history="true" r:id="R46cf171b17594440">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e90d22d7a8d4cbf">
              <w:r>
                <w:rPr>
                  <w:rStyle w:val="Hyperlink"/>
                </w:rPr>
                <w:t xml:space="preserve">Acute stroke clinical care standard indicators: 2b- Proportion of patients with a final diagnosis of ischaemic stroke who received endovascular thrombectomy, 2019-</w:t>
              </w:r>
            </w:hyperlink>
          </w:p>
          <w:p>
            <w:pPr>
              <w:spacing w:before="0" w:after="0"/>
            </w:pPr>
            <w:r>
              <w:rPr>
                <w:rStyle w:val="row-content"/>
                <w:color w:val="244061"/>
              </w:rPr>
              <w:t xml:space="preserve">       </w:t>
            </w:r>
            <w:hyperlink w:history="true" r:id="R7596debc0fda4fc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37cd28c21234b37">
              <w:r>
                <w:rPr>
                  <w:rStyle w:val="Hyperlink"/>
                </w:rPr>
                <w:t xml:space="preserve">Acute stroke clinical care standard indicators: 2d-Time from arrival to hospital to endovascular thrombectomy, 2019-</w:t>
              </w:r>
            </w:hyperlink>
          </w:p>
          <w:p>
            <w:pPr>
              <w:spacing w:before="0" w:after="0"/>
            </w:pPr>
            <w:r>
              <w:rPr>
                <w:rStyle w:val="row-content"/>
                <w:color w:val="244061"/>
              </w:rPr>
              <w:t xml:space="preserve">       </w:t>
            </w:r>
            <w:hyperlink w:history="true" r:id="Rac1edaecea6649bd">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d8e9bdf575b44ed4">
              <w:r>
                <w:rPr>
                  <w:rStyle w:val="Hyperlink"/>
                </w:rPr>
                <w:t xml:space="preserve">Acute stroke clinical care standard indicators: 5b- Proportion of patients with a final diagnosis of ischaemic stroke on cholesterol lowering medication on separation from hospital, 2019</w:t>
              </w:r>
            </w:hyperlink>
          </w:p>
          <w:p>
            <w:pPr>
              <w:spacing w:before="0" w:after="0"/>
            </w:pPr>
            <w:r>
              <w:rPr>
                <w:rStyle w:val="row-content"/>
                <w:color w:val="244061"/>
              </w:rPr>
              <w:t xml:space="preserve">       </w:t>
            </w:r>
            <w:hyperlink w:history="true" r:id="R8165dfa402af4107">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d6ae18a3dc79464c">
              <w:r>
                <w:rPr>
                  <w:rStyle w:val="Hyperlink"/>
                </w:rPr>
                <w:t xml:space="preserve">Acute stroke clinical care standard indicators: 5c-Proportion of patients with a final diagnosis of ischaemic stroke and atrial fibrillation prescribed oral anticoagulants on separation from hospital, 2019-</w:t>
              </w:r>
            </w:hyperlink>
          </w:p>
          <w:p>
            <w:pPr>
              <w:spacing w:before="0" w:after="0"/>
            </w:pPr>
            <w:r>
              <w:rPr>
                <w:rStyle w:val="row-content"/>
                <w:color w:val="244061"/>
              </w:rPr>
              <w:t xml:space="preserve">       </w:t>
            </w:r>
            <w:hyperlink w:history="true" r:id="Rcbcd8b71cb45416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3e6b52bfb50b4f50">
              <w:r>
                <w:rPr>
                  <w:rStyle w:val="Hyperlink"/>
                </w:rPr>
                <w:t xml:space="preserve">Acute stroke clinical care standard indicators: 5d- Proportion of patients with a final diagnosis of ischaemic stroke on antithrombotic medications on separation from hospital, 2019-</w:t>
              </w:r>
            </w:hyperlink>
          </w:p>
          <w:p>
            <w:pPr>
              <w:spacing w:before="0" w:after="0"/>
            </w:pPr>
            <w:r>
              <w:rPr>
                <w:rStyle w:val="row-content"/>
                <w:color w:val="244061"/>
              </w:rPr>
              <w:t xml:space="preserve">       </w:t>
            </w:r>
            <w:hyperlink w:history="true" r:id="Rfdda8b56152d42ea">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fe3116dc140a4f4a">
              <w:r>
                <w:rPr>
                  <w:rStyle w:val="Hyperlink"/>
                </w:rPr>
                <w:t xml:space="preserve">Clinical care standard indicators: acute stroke</w:t>
              </w:r>
            </w:hyperlink>
          </w:p>
          <w:p>
            <w:pPr>
              <w:spacing w:before="0" w:after="0"/>
            </w:pPr>
            <w:r>
              <w:rPr>
                <w:rStyle w:val="row-content"/>
                <w:color w:val="244061"/>
              </w:rPr>
              <w:t xml:space="preserve">       </w:t>
            </w:r>
            <w:hyperlink w:history="true" r:id="R28847afedbb84514">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r>
        <w:br/>
      </w:r>
    </w:p>
    <w:sectPr>
      <w:footerReference xmlns:r="http://schemas.openxmlformats.org/officeDocument/2006/relationships" w:type="default" r:id="Rd0e607178e13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721349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01aff21b1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607178e1340c8" /><Relationship Type="http://schemas.openxmlformats.org/officeDocument/2006/relationships/header" Target="/word/header1.xml" Id="R36bc2613e2324e4b" /><Relationship Type="http://schemas.openxmlformats.org/officeDocument/2006/relationships/settings" Target="/word/settings.xml" Id="Rf80635a6bcfd4e93" /><Relationship Type="http://schemas.openxmlformats.org/officeDocument/2006/relationships/styles" Target="/word/styles.xml" Id="Refc8c8082acd47b3" /><Relationship Type="http://schemas.openxmlformats.org/officeDocument/2006/relationships/hyperlink" Target="https://meteor.aihw.gov.au/RegistrationAuthority/18" TargetMode="External" Id="R179ff1459d864ace" /><Relationship Type="http://schemas.openxmlformats.org/officeDocument/2006/relationships/hyperlink" Target="https://meteor.aihw.gov.au/content/721343" TargetMode="External" Id="Rb6d3eb11acad4adb" /><Relationship Type="http://schemas.openxmlformats.org/officeDocument/2006/relationships/hyperlink" Target="https://meteor.aihw.gov.au/content/721347" TargetMode="External" Id="R88a9311c19f04a79" /><Relationship Type="http://schemas.openxmlformats.org/officeDocument/2006/relationships/hyperlink" Target="https://meteor.aihw.gov.au/content/588987" TargetMode="External" Id="Rc86c73ae0f004643" /><Relationship Type="http://schemas.openxmlformats.org/officeDocument/2006/relationships/hyperlink" Target="https://meteor.aihw.gov.au/content/588981" TargetMode="External" Id="Rc2cb9c3d600a43f6" /><Relationship Type="http://schemas.openxmlformats.org/officeDocument/2006/relationships/numbering" Target="/word/numbering.xml" Id="R4173ebb3042d4e63" /><Relationship Type="http://schemas.openxmlformats.org/officeDocument/2006/relationships/hyperlink" Target="https://meteor.aihw.gov.au/content/584408" TargetMode="External" Id="R8334d6b872a74b05" /><Relationship Type="http://schemas.openxmlformats.org/officeDocument/2006/relationships/hyperlink" Target="https://meteor.aihw.gov.au/content/588987" TargetMode="External" Id="R5d881f79ed2e4f3b" /><Relationship Type="http://schemas.openxmlformats.org/officeDocument/2006/relationships/hyperlink" Target="https://meteor.aihw.gov.au/content/588981" TargetMode="External" Id="R4fa85f3660e74e1d" /><Relationship Type="http://schemas.openxmlformats.org/officeDocument/2006/relationships/hyperlink" Target="https://meteor.aihw.gov.au/content/719048" TargetMode="External" Id="R6c421d351f71448e" /><Relationship Type="http://schemas.openxmlformats.org/officeDocument/2006/relationships/hyperlink" Target="https://meteor.aihw.gov.au/RegistrationAuthority/18" TargetMode="External" Id="R46cf171b17594440" /><Relationship Type="http://schemas.openxmlformats.org/officeDocument/2006/relationships/hyperlink" Target="https://meteor.aihw.gov.au/content/719088" TargetMode="External" Id="R1e90d22d7a8d4cbf" /><Relationship Type="http://schemas.openxmlformats.org/officeDocument/2006/relationships/hyperlink" Target="https://meteor.aihw.gov.au/RegistrationAuthority/18" TargetMode="External" Id="R7596debc0fda4fc1" /><Relationship Type="http://schemas.openxmlformats.org/officeDocument/2006/relationships/hyperlink" Target="https://meteor.aihw.gov.au/content/719091" TargetMode="External" Id="R137cd28c21234b37" /><Relationship Type="http://schemas.openxmlformats.org/officeDocument/2006/relationships/hyperlink" Target="https://meteor.aihw.gov.au/RegistrationAuthority/18" TargetMode="External" Id="Rac1edaecea6649bd" /><Relationship Type="http://schemas.openxmlformats.org/officeDocument/2006/relationships/hyperlink" Target="https://meteor.aihw.gov.au/content/719062" TargetMode="External" Id="Rd8e9bdf575b44ed4" /><Relationship Type="http://schemas.openxmlformats.org/officeDocument/2006/relationships/hyperlink" Target="https://meteor.aihw.gov.au/RegistrationAuthority/18" TargetMode="External" Id="R8165dfa402af4107" /><Relationship Type="http://schemas.openxmlformats.org/officeDocument/2006/relationships/hyperlink" Target="https://meteor.aihw.gov.au/content/719114" TargetMode="External" Id="Rd6ae18a3dc79464c" /><Relationship Type="http://schemas.openxmlformats.org/officeDocument/2006/relationships/hyperlink" Target="https://meteor.aihw.gov.au/RegistrationAuthority/18" TargetMode="External" Id="Rcbcd8b71cb45416b" /><Relationship Type="http://schemas.openxmlformats.org/officeDocument/2006/relationships/hyperlink" Target="https://meteor.aihw.gov.au/content/719116" TargetMode="External" Id="R3e6b52bfb50b4f50" /><Relationship Type="http://schemas.openxmlformats.org/officeDocument/2006/relationships/hyperlink" Target="https://meteor.aihw.gov.au/RegistrationAuthority/18" TargetMode="External" Id="Rfdda8b56152d42ea" /><Relationship Type="http://schemas.openxmlformats.org/officeDocument/2006/relationships/hyperlink" Target="https://meteor.aihw.gov.au/content/719072" TargetMode="External" Id="Rfe3116dc140a4f4a" /><Relationship Type="http://schemas.openxmlformats.org/officeDocument/2006/relationships/hyperlink" Target="https://meteor.aihw.gov.au/RegistrationAuthority/18" TargetMode="External" Id="R28847afedbb84514" /></Relationships>
</file>

<file path=word/_rels/header1.xml.rels>&#65279;<?xml version="1.0" encoding="utf-8"?><Relationships xmlns="http://schemas.openxmlformats.org/package/2006/relationships"><Relationship Type="http://schemas.openxmlformats.org/officeDocument/2006/relationships/image" Target="/media/image.png" Id="R4b801aff21b146d3" /></Relationships>
</file>