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0d10319af04695"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d1f6fe8434368">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2018–19 financial year and point in time at 30 June 2019.</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91f6844eb544926">
              <w:r>
                <w:rPr>
                  <w:rStyle w:val="Hyperlink"/>
                  <w:i/>
                </w:rPr>
                <w:t xml:space="preserve">Australian Institute of Health and Welfare Act 1987</w:t>
              </w:r>
            </w:hyperlink>
            <w:r>
              <w:rPr>
                <w:rStyle w:val="row-content-rich-text"/>
              </w:rPr>
              <w:t xml:space="preserve"> (AIHW Act), governed by a </w:t>
            </w:r>
            <w:hyperlink w:history="true" r:id="Rd523f023a3c74f4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a39b5125f4514005">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589df349d1394f2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a819828d9bd5447c">
              <w:r>
                <w:rPr>
                  <w:rStyle w:val="Hyperlink"/>
                  <w:i/>
                </w:rPr>
                <w:t xml:space="preserve">Housing assistance in Australia</w:t>
              </w:r>
            </w:hyperlink>
            <w:r>
              <w:rPr>
                <w:rStyle w:val="row-content-rich-text"/>
              </w:rPr>
              <w:t xml:space="preserve"> reports and the Productivity Commission's annual </w:t>
            </w:r>
            <w:hyperlink w:history="true" r:id="Ra2a4488d5eff43c9">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0e2f09a55644538">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bcc0c651a196490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50bea6687ca24d47">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pStyle w:val="ListParagraph"/>
              <w:numPr>
                <w:ilvl w:val="0"/>
                <w:numId w:val="6"/>
              </w:numPr>
            </w:pPr>
            <w:r>
              <w:rPr>
                <w:rStyle w:val="row-content-rich-text"/>
              </w:rPr>
              <w:t xml:space="preserve">Incorrect recording of vacancy reasons impacts the accuracy of turnaround time calculations.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2018–19,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10"/>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0"/>
              </w:numPr>
            </w:pPr>
            <w:r>
              <w:rPr>
                <w:rStyle w:val="row-content-rich-text"/>
              </w:rPr>
              <w:t xml:space="preserve">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spacing w:after="160"/>
            </w:pPr>
            <w:r>
              <w:rPr>
                <w:rStyle w:val="row-content-rich-text"/>
                <w:b/>
              </w:rPr>
              <w:t xml:space="preserve">Northern Territory</w:t>
            </w:r>
          </w:p>
          <w:p>
            <w:pPr>
              <w:pStyle w:val="ListParagraph"/>
              <w:numPr>
                <w:ilvl w:val="0"/>
                <w:numId w:val="11"/>
              </w:numPr>
            </w:pPr>
            <w:r>
              <w:rPr>
                <w:rStyle w:val="row-content-rich-text"/>
              </w:rPr>
              <w:t xml:space="preserve">Dwellings returning to service after receiving major upgrades under stimulus programs are a contributing factor to high turnaround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2"/>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2"/>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are based on 2017–18 SIH results. Care is required when comparing low-income measures over time.</w:t>
            </w:r>
          </w:p>
          <w:p>
            <w:pPr>
              <w:pStyle w:val="ListParagraph"/>
              <w:numPr>
                <w:ilvl w:val="0"/>
                <w:numId w:val="12"/>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2"/>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3"/>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3"/>
              </w:numPr>
            </w:pPr>
            <w:r>
              <w:rPr>
                <w:rStyle w:val="row-content-rich-text"/>
              </w:rPr>
              <w:t xml:space="preserve">The 2016–17 waitlist data excluded suspended applicants, therefore data may not be comparable to previous years.</w:t>
            </w:r>
          </w:p>
          <w:p>
            <w:pPr>
              <w:pStyle w:val="ListParagraph"/>
              <w:numPr>
                <w:ilvl w:val="0"/>
                <w:numId w:val="13"/>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4"/>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8"/>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8"/>
              </w:numPr>
            </w:pPr>
            <w:r>
              <w:rPr>
                <w:rStyle w:val="row-content-rich-text"/>
              </w:rPr>
              <w:t xml:space="preserve">Prior to 2018–19, reinstated applications (where contact with a new applicant had been lost then re-established) were reported as transfers instead of new households. From 2018–19, these applications are reported as new households. As a result, in previous years total new applicants (excluding transfers), new greatest need applicants and new households assisted were understated and transfer applicants and relocating households were overstated.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152fe112947fc">
              <w:r>
                <w:rPr>
                  <w:rStyle w:val="Hyperlink"/>
                </w:rPr>
                <w:t xml:space="preserve">Public Rental Housing Data Collection, 2017–18; Quality Statement</w:t>
              </w:r>
            </w:hyperlink>
          </w:p>
          <w:p>
            <w:pPr>
              <w:pStyle w:val="registration-status"/>
              <w:spacing w:before="0" w:after="0"/>
            </w:pPr>
            <w:hyperlink w:history="true" r:id="Rcbf307ea95e94c4d">
              <w:r>
                <w:rPr>
                  <w:rStyle w:val="Hyperlink"/>
                  <w:color w:val="244061"/>
                </w:rPr>
                <w:t xml:space="preserve">AIHW Data Quality Statements</w:t>
              </w:r>
            </w:hyperlink>
            <w:r>
              <w:rPr>
                <w:rStyle w:val="row-content"/>
                <w:color w:val="244061"/>
              </w:rPr>
              <w:t xml:space="preserve">, Superseded 15/11/2019</w:t>
            </w:r>
          </w:p>
          <w:p>
            <w:r>
              <w:br/>
            </w:r>
            <w:r>
              <w:rPr>
                <w:rStyle w:val="row-content"/>
              </w:rPr>
              <w:t xml:space="preserve">Has been superseded by </w:t>
            </w:r>
            <w:hyperlink w:history="true" r:id="Rc3eeb1423fa841aa">
              <w:r>
                <w:rPr>
                  <w:rStyle w:val="Hyperlink"/>
                </w:rPr>
                <w:t xml:space="preserve">Public Housing Data Collection, 2019–20; Quality Statement</w:t>
              </w:r>
            </w:hyperlink>
          </w:p>
          <w:p>
            <w:pPr>
              <w:pStyle w:val="registration-status"/>
              <w:spacing w:before="0" w:after="0"/>
            </w:pPr>
            <w:hyperlink w:history="true" r:id="R6ad342730cc84dd4">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6164507dbfed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410604310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4507dbfed404f" /><Relationship Type="http://schemas.openxmlformats.org/officeDocument/2006/relationships/header" Target="/word/header1.xml" Id="R2f146c460244494f" /><Relationship Type="http://schemas.openxmlformats.org/officeDocument/2006/relationships/settings" Target="/word/settings.xml" Id="R92d1f3f2546c4fd6" /><Relationship Type="http://schemas.openxmlformats.org/officeDocument/2006/relationships/styles" Target="/word/styles.xml" Id="Raf650956cf444a68" /><Relationship Type="http://schemas.openxmlformats.org/officeDocument/2006/relationships/numbering" Target="/word/numbering.xml" Id="Rc12002226ce84b06" /><Relationship Type="http://schemas.openxmlformats.org/officeDocument/2006/relationships/hyperlink" Target="https://meteor.aihw.gov.au/RegistrationAuthority/5" TargetMode="External" Id="Re61d1f6fe8434368" /><Relationship Type="http://schemas.openxmlformats.org/officeDocument/2006/relationships/hyperlink" Target="https://www.legislation.gov.au/Series/C2004A03450#" TargetMode="External" Id="R691f6844eb544926" /><Relationship Type="http://schemas.openxmlformats.org/officeDocument/2006/relationships/hyperlink" Target="http://www.aihw.gov.au/aihw-board/" TargetMode="External" Id="Rd523f023a3c74f4d" /><Relationship Type="http://schemas.openxmlformats.org/officeDocument/2006/relationships/hyperlink" Target="https://www.legislation.gov.au/Series/C2004A03712" TargetMode="External" Id="Ra39b5125f4514005" /><Relationship Type="http://schemas.openxmlformats.org/officeDocument/2006/relationships/hyperlink" Target="http://www.aihw.gov.au/" TargetMode="External" Id="R589df349d1394f28" /><Relationship Type="http://schemas.openxmlformats.org/officeDocument/2006/relationships/hyperlink" Target="https://www.aihw.gov.au/reports-statistics/health-welfare-services/housing-assistance/overview" TargetMode="External" Id="Ra819828d9bd5447c" /><Relationship Type="http://schemas.openxmlformats.org/officeDocument/2006/relationships/hyperlink" Target="http://www.pc.gov.au/research/ongoing/report-on-government-services" TargetMode="External" Id="Ra2a4488d5eff43c9" /><Relationship Type="http://schemas.openxmlformats.org/officeDocument/2006/relationships/hyperlink" Target="https://www.aihw.gov.au/our-services/data-on-request" TargetMode="External" Id="R40e2f09a55644538" /><Relationship Type="http://schemas.openxmlformats.org/officeDocument/2006/relationships/hyperlink" Target="mailto:info@aihw.gov.au" TargetMode="External" Id="Rbcc0c651a196490b" /><Relationship Type="http://schemas.openxmlformats.org/officeDocument/2006/relationships/hyperlink" Target="https://meteor.aihw.gov.au/content/711016" TargetMode="External" Id="R50bea6687ca24d47" /><Relationship Type="http://schemas.openxmlformats.org/officeDocument/2006/relationships/hyperlink" Target="https://meteor.aihw.gov.au/content/690927" TargetMode="External" Id="Rc9c152fe112947fc" /><Relationship Type="http://schemas.openxmlformats.org/officeDocument/2006/relationships/hyperlink" Target="https://meteor.aihw.gov.au/RegistrationAuthority/5" TargetMode="External" Id="Rcbf307ea95e94c4d" /><Relationship Type="http://schemas.openxmlformats.org/officeDocument/2006/relationships/hyperlink" Target="https://meteor.aihw.gov.au/content/731009" TargetMode="External" Id="Rc3eeb1423fa841aa" /><Relationship Type="http://schemas.openxmlformats.org/officeDocument/2006/relationships/hyperlink" Target="https://meteor.aihw.gov.au/RegistrationAuthority/5" TargetMode="External" Id="R6ad342730cc84dd4" /></Relationships>
</file>

<file path=word/_rels/header1.xml.rels>&#65279;<?xml version="1.0" encoding="utf-8"?><Relationships xmlns="http://schemas.openxmlformats.org/package/2006/relationships"><Relationship Type="http://schemas.openxmlformats.org/officeDocument/2006/relationships/image" Target="/media/image.png" Id="R7bc4106043104233" /></Relationships>
</file>