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389119c686449b"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a8af602a190476f">
                    <w:r>
                      <w:rPr>
                        <w:rStyle w:val="Hyperlink"/>
                      </w:rPr>
                      <w:t xml:space="preserve">Primary site of cancer (ICD-O-3 code)</w:t>
                    </w:r>
                  </w:hyperlink>
                </w:p>
              </w:tc>
              <w:tc>
                <w:tcPr>
                  <w:vAlign w:val="top"/>
                </w:tcPr>
                <w:p>
                  <w:r>
                    <w:t xml:space="preserve">396090</w:t>
                  </w:r>
                </w:p>
              </w:tc>
              <w:tc>
                <w:tcPr>
                  <w:vAlign w:val="top"/>
                </w:tcPr>
                <w:p>
                  <w:r>
                    <w:t xml:space="preserve">String
[5]</w:t>
                  </w:r>
                </w:p>
              </w:tc>
              <w:tc>
                <w:tcPr>
                  <w:vAlign w:val="top"/>
                </w:tcPr>
                <w:p>
                  <w:r>
                    <w:t xml:space="preserve">ANN.N</w:t>
                  </w:r>
                  <w:r>
                    <w:br/>
                  </w:r>
                </w:p>
                <w:p>
                  <w:r>
                    <w:t xml:space="preserve">The ICD-O (3rd edition) topography code set representing the site of the tumour.</w:t>
                  </w:r>
                </w:p>
              </w:tc>
            </w:tr>
            <w:tr>
              <w:trPr/>
              <w:tc>
                <w:tcPr>
                  <w:tcMar>
                    <w:right w:w="29" w:type="dxa"/>
                  </w:tcMar>
                  <w:vAlign w:val="top"/>
                </w:tcPr>
                <w:p>
                  <w:pPr>
                    <w:keepNext/>
                    <w:jc w:val="center"/>
                  </w:pPr>
                  <w:r>
                    <w:t xml:space="preserve">2</w:t>
                  </w:r>
                </w:p>
              </w:tc>
              <w:tc>
                <w:tcPr>
                  <w:tcMar/>
                  <w:vAlign w:val="top"/>
                </w:tcPr>
                <w:p>
                  <w:hyperlink w:history="true" r:id="Rc48fb1bb68144830">
                    <w:r>
                      <w:rPr>
                        <w:rStyle w:val="Hyperlink"/>
                      </w:rPr>
                      <w:t xml:space="preserve">Date of diagnosis of cancer</w:t>
                    </w:r>
                  </w:hyperlink>
                </w:p>
              </w:tc>
              <w:tc>
                <w:tcPr>
                  <w:vAlign w:val="top"/>
                </w:tcPr>
                <w:p>
                  <w:r>
                    <w:t xml:space="preserve">416129</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15013e2201f44511">
                    <w:r>
                      <w:rPr>
                        <w:rStyle w:val="Hyperlink"/>
                      </w:rPr>
                      <w:t xml:space="preserve">Staging scheme source</w:t>
                    </w:r>
                  </w:hyperlink>
                </w:p>
              </w:tc>
              <w:tc>
                <w:tcPr>
                  <w:vAlign w:val="top"/>
                </w:tcPr>
                <w:p>
                  <w:r>
                    <w:t xml:space="preserve">720534</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TNM Classification of Malignant Tumours (UICC)</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Durie &amp; Salmon for multiple myeloma staging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French-American-British (FAB) for leukaemia classification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Australian Clinico-Pathological Staging (ACPS) System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International Federation of Gynecologists &amp; Obstetricians (FIGO) for gynaecological cancers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Dukes/Modified Dukes for colorectal cancer</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Ann Arbor staging system for lymphomas</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Binet Staging Classification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Rai staging system for chronic lymphocytic leukaemia</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Chronic Myeloid Leukaemia (CML) staging system</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International Staging System (ISS) for myeloma</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American Joint Committee on Cancer (AJCC) Cancer Staging Manual</w:t>
                        </w:r>
                      </w:p>
                    </w:tc>
                  </w:tr>
                  <w:tr>
                    <w:trPr/>
                    <w:tc>
                      <w:tcPr>
                        <w:tcW w:w="1000" w:type="pct"/>
                        <w:tcBorders>
                          <w:top w:val="none" w:color="000000" w:sz="0"/>
                          <w:left w:val="none" w:color="000000" w:sz="0"/>
                          <w:bottom w:val="none" w:color="000000" w:sz="0"/>
                          <w:right w:val="none" w:color="000000" w:sz="0"/>
                        </w:tcBorders>
                        <w:tcMar/>
                        <w:vAlign w:val="top"/>
                      </w:tcPr>
                      <w:p>
                        <w:r>
                          <w:t xml:space="preserve">96 </w:t>
                        </w:r>
                      </w:p>
                    </w:tc>
                    <w:tc>
                      <w:tcPr>
                        <w:tcBorders>
                          <w:top w:val="none" w:color="000000" w:sz="0"/>
                          <w:left w:val="none" w:color="000000" w:sz="0"/>
                          <w:bottom w:val="none" w:color="000000" w:sz="0"/>
                          <w:right w:val="none" w:color="000000" w:sz="0"/>
                        </w:tcBorders>
                        <w:tcMar/>
                        <w:vAlign w:val="top"/>
                      </w:tcPr>
                      <w:p>
                        <w:r>
                          <w:t xml:space="preserve">Other reference</w:t>
                        </w:r>
                      </w:p>
                    </w:tc>
                  </w:tr>
                  <w:tr>
                    <w:trPr/>
                    <w:tc>
                      <w:tcPr>
                        <w:tcW w:w="1000" w:type="pct"/>
                        <w:tcBorders>
                          <w:top w:val="none" w:color="000000" w:sz="0"/>
                          <w:left w:val="none" w:color="000000" w:sz="0"/>
                          <w:bottom w:val="none" w:color="000000" w:sz="0"/>
                          <w:right w:val="none" w:color="000000" w:sz="0"/>
                        </w:tcBorders>
                        <w:tcMar/>
                        <w:vAlign w:val="top"/>
                      </w:tcPr>
                      <w:p>
                        <w:r>
                          <w:t xml:space="preserve">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aa3a10233d614e24">
                    <w:r>
                      <w:rPr>
                        <w:rStyle w:val="Hyperlink"/>
                      </w:rPr>
                      <w:t xml:space="preserve">Staging basis of cancer</w:t>
                    </w:r>
                  </w:hyperlink>
                </w:p>
              </w:tc>
              <w:tc>
                <w:tcPr>
                  <w:vAlign w:val="top"/>
                </w:tcPr>
                <w:p>
                  <w:r>
                    <w:t xml:space="preserve">422604</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P </w:t>
                        </w:r>
                      </w:p>
                    </w:tc>
                    <w:tc>
                      <w:tcPr>
                        <w:tcBorders>
                          <w:top w:val="none" w:color="000000" w:sz="0"/>
                          <w:left w:val="none" w:color="000000" w:sz="0"/>
                          <w:bottom w:val="none" w:color="000000" w:sz="0"/>
                          <w:right w:val="none" w:color="000000" w:sz="0"/>
                        </w:tcBorders>
                        <w:tcMar/>
                        <w:vAlign w:val="top"/>
                      </w:tcPr>
                      <w:p>
                        <w:r>
                          <w:t xml:space="preserve">Pathological</w:t>
                        </w:r>
                      </w:p>
                    </w:tc>
                  </w:tr>
                  <w:tr>
                    <w:trPr/>
                    <w:tc>
                      <w:tcPr>
                        <w:tcW w:w="1000" w:type="pct"/>
                        <w:tcBorders>
                          <w:top w:val="none" w:color="000000" w:sz="0"/>
                          <w:left w:val="none" w:color="000000" w:sz="0"/>
                          <w:bottom w:val="none" w:color="000000" w:sz="0"/>
                          <w:right w:val="none" w:color="000000" w:sz="0"/>
                        </w:tcBorders>
                        <w:tcMar/>
                        <w:vAlign w:val="top"/>
                      </w:tcPr>
                      <w:p>
                        <w:r>
                          <w:t xml:space="preserve">C </w:t>
                        </w:r>
                      </w:p>
                    </w:tc>
                    <w:tc>
                      <w:tcPr>
                        <w:tcBorders>
                          <w:top w:val="none" w:color="000000" w:sz="0"/>
                          <w:left w:val="none" w:color="000000" w:sz="0"/>
                          <w:bottom w:val="none" w:color="000000" w:sz="0"/>
                          <w:right w:val="none" w:color="000000" w:sz="0"/>
                        </w:tcBorders>
                        <w:tcMar/>
                        <w:vAlign w:val="top"/>
                      </w:tcPr>
                      <w:p>
                        <w:r>
                          <w:t xml:space="preserve">Clinical</w:t>
                        </w:r>
                      </w:p>
                    </w:tc>
                  </w:tr>
                </w:tbl>
                <w:p/>
              </w:tc>
            </w:tr>
            <w:tr>
              <w:trPr/>
              <w:tc>
                <w:tcPr>
                  <w:tcMar>
                    <w:right w:w="29" w:type="dxa"/>
                  </w:tcMar>
                  <w:vAlign w:val="top"/>
                </w:tcPr>
                <w:p>
                  <w:pPr>
                    <w:keepNext/>
                    <w:jc w:val="center"/>
                  </w:pPr>
                  <w:r>
                    <w:t xml:space="preserve">5</w:t>
                  </w:r>
                </w:p>
              </w:tc>
              <w:tc>
                <w:tcPr>
                  <w:tcMar/>
                  <w:vAlign w:val="top"/>
                </w:tcPr>
                <w:p>
                  <w:hyperlink w:history="true" r:id="R5929f0c91c404d2f">
                    <w:r>
                      <w:rPr>
                        <w:rStyle w:val="Hyperlink"/>
                      </w:rPr>
                      <w:t xml:space="preserve">Cancer staging—TNM stage grouping code</w:t>
                    </w:r>
                  </w:hyperlink>
                </w:p>
              </w:tc>
              <w:tc>
                <w:tcPr>
                  <w:vAlign w:val="top"/>
                </w:tcPr>
                <w:p>
                  <w:r>
                    <w:t xml:space="preserve">719703</w:t>
                  </w:r>
                </w:p>
              </w:tc>
              <w:tc>
                <w:tcPr>
                  <w:vAlign w:val="top"/>
                </w:tcPr>
                <w:p>
                  <w:r>
                    <w:t xml:space="preserve">String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998 </w:t>
                        </w:r>
                      </w:p>
                    </w:tc>
                    <w:tc>
                      <w:tcPr>
                        <w:tcBorders>
                          <w:top w:val="none" w:color="000000" w:sz="0"/>
                          <w:left w:val="none" w:color="000000" w:sz="0"/>
                          <w:bottom w:val="none" w:color="000000" w:sz="0"/>
                          <w:right w:val="none" w:color="000000" w:sz="0"/>
                        </w:tcBorders>
                        <w:tcMar/>
                        <w:vAlign w:val="top"/>
                      </w:tcPr>
                      <w:p>
                        <w:r>
                          <w:t xml:space="preserve">Unknown </w:t>
                        </w:r>
                      </w:p>
                    </w:tc>
                  </w:tr>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e9cda995d57c4ca1">
                    <w:r>
                      <w:rPr>
                        <w:rStyle w:val="Hyperlink"/>
                      </w:rPr>
                      <w:t xml:space="preserve">Admission date</w:t>
                    </w:r>
                  </w:hyperlink>
                </w:p>
              </w:tc>
              <w:tc>
                <w:tcPr>
                  <w:vAlign w:val="top"/>
                </w:tcPr>
                <w:p>
                  <w:r>
                    <w:t xml:space="preserve">695137</w:t>
                  </w:r>
                </w:p>
              </w:tc>
              <w:tc>
                <w:tcPr>
                  <w:vAlign w:val="top"/>
                </w:tcPr>
                <w:p>
                  <w:r>
                    <w:t xml:space="preserve">Date/Time
[8]</w:t>
                  </w:r>
                </w:p>
              </w:tc>
              <w:tc>
                <w:tcPr>
                  <w:vAlign w:val="top"/>
                </w:tcPr>
                <w:p>
                  <w:r>
                    <w:t xml:space="preserve">DDMMYYYY</w:t>
                  </w:r>
                  <w:r>
                    <w:br/>
                  </w:r>
                </w:p>
                <w:p>
                  <w:r>
                    <w:t xml:space="preserve">The day of a particular month and year. </w:t>
                  </w:r>
                </w:p>
              </w:tc>
            </w:tr>
          </w:tbl>
          <w:p/>
        </w:tc>
      </w:tr>
    </w:tbl>
    <w:p>
      <w:r>
        <w:br/>
      </w:r>
    </w:p>
    <w:sectPr>
      <w:footerReference xmlns:r="http://schemas.openxmlformats.org/officeDocument/2006/relationships" w:type="default" r:id="R7ba90a0c74c3422a"/>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47c21a0914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90a0c74c3422a" /><Relationship Type="http://schemas.openxmlformats.org/officeDocument/2006/relationships/header" Target="/word/header1.xml" Id="R1bfca9b38ade4ef8" /><Relationship Type="http://schemas.openxmlformats.org/officeDocument/2006/relationships/settings" Target="/word/settings.xml" Id="R385f9220e76a4a29" /><Relationship Type="http://schemas.openxmlformats.org/officeDocument/2006/relationships/styles" Target="/word/styles.xml" Id="R5ffad2d5bc954c36" /><Relationship Type="http://schemas.openxmlformats.org/officeDocument/2006/relationships/hyperlink" Target="https://meteor.aihw.gov.au/content/396090" TargetMode="External" Id="R7a8af602a190476f" /><Relationship Type="http://schemas.openxmlformats.org/officeDocument/2006/relationships/hyperlink" Target="https://meteor.aihw.gov.au/content/416129" TargetMode="External" Id="Rc48fb1bb68144830" /><Relationship Type="http://schemas.openxmlformats.org/officeDocument/2006/relationships/hyperlink" Target="https://meteor.aihw.gov.au/content/720534" TargetMode="External" Id="R15013e2201f44511" /><Relationship Type="http://schemas.openxmlformats.org/officeDocument/2006/relationships/hyperlink" Target="https://meteor.aihw.gov.au/content/422604" TargetMode="External" Id="Raa3a10233d614e24" /><Relationship Type="http://schemas.openxmlformats.org/officeDocument/2006/relationships/hyperlink" Target="https://meteor.aihw.gov.au/content/719703" TargetMode="External" Id="R5929f0c91c404d2f" /><Relationship Type="http://schemas.openxmlformats.org/officeDocument/2006/relationships/hyperlink" Target="https://meteor.aihw.gov.au/content/695137" TargetMode="External" Id="Re9cda995d57c4ca1" /></Relationships>
</file>

<file path=word/_rels/header1.xml.rels>&#65279;<?xml version="1.0" encoding="utf-8"?><Relationships xmlns="http://schemas.openxmlformats.org/package/2006/relationships"><Relationship Type="http://schemas.openxmlformats.org/officeDocument/2006/relationships/image" Target="/media/image.png" Id="Rab47c21a09144c20" /></Relationships>
</file>