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d531e1d684f14"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6g-Proportion of patients with acute coronary syndrome whose discharge summary was provided to their general practitioner or ongoing clinical provider within 48 hours of separation from hospital</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6g-Proportion of patients with acute coronary syndrome whose discharge summary was provided to their general practitioner or ongoing clinical provider within 48 hours of separation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6g- Proportion of patients whose discharge summary is provided to their general practitioner or ongoing clinical provider within 48 hours of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117a1b16c4367">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a905daaf643d47f4">
              <w:r>
                <w:rPr>
                  <w:rStyle w:val="Hyperlink"/>
                  <w:b/>
                </w:rPr>
                <w:t xml:space="preserve">acute coronary syndrome (ACS)</w:t>
              </w:r>
            </w:hyperlink>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b0ff9df01d2e46db">
              <w:r>
                <w:rPr>
                  <w:rStyle w:val="Hyperlink"/>
                  <w:b/>
                </w:rPr>
                <w:t xml:space="preserve"> </w:t>
              </w:r>
            </w:hyperlink>
            <w:r>
              <w:rPr>
                <w:rStyle w:val="row-content-rich-text"/>
              </w:rPr>
              <w:t xml:space="preserve">whose discharge summary was provided to their general practitioner (GP) or ongoing clinical provider within 48 hours of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5d6a92ed4b4279">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f1772b59d2ea41ef">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whose discharge summary was provided to their GP or relevant health service provider within 48 hours of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f972de1b080e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719411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6284ff842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2de1b080e41d2" /><Relationship Type="http://schemas.openxmlformats.org/officeDocument/2006/relationships/header" Target="/word/header1.xml" Id="Rbebc9be13cb049b3" /><Relationship Type="http://schemas.openxmlformats.org/officeDocument/2006/relationships/settings" Target="/word/settings.xml" Id="R1f23d4f7e9934b7f" /><Relationship Type="http://schemas.openxmlformats.org/officeDocument/2006/relationships/styles" Target="/word/styles.xml" Id="Re36c1431df944f24" /><Relationship Type="http://schemas.openxmlformats.org/officeDocument/2006/relationships/hyperlink" Target="https://meteor.aihw.gov.au/RegistrationAuthority/18" TargetMode="External" Id="Ra8a117a1b16c4367" /><Relationship Type="http://schemas.openxmlformats.org/officeDocument/2006/relationships/hyperlink" Target="https://meteor.aihw.gov.au/content/721541" TargetMode="External" Id="Ra905daaf643d47f4" /><Relationship Type="http://schemas.openxmlformats.org/officeDocument/2006/relationships/hyperlink" Target="https://meteor.aihw.gov.au/content/628778" TargetMode="External" Id="Rb0ff9df01d2e46db" /><Relationship Type="http://schemas.openxmlformats.org/officeDocument/2006/relationships/hyperlink" Target="https://meteor.aihw.gov.au/content/719380" TargetMode="External" Id="R835d6a92ed4b4279" /><Relationship Type="http://schemas.openxmlformats.org/officeDocument/2006/relationships/hyperlink" Target="https://meteor.aihw.gov.au/RegistrationAuthority/18" TargetMode="External" Id="Rf1772b59d2ea41ef" /></Relationships>
</file>

<file path=word/_rels/header1.xml.rels>&#65279;<?xml version="1.0" encoding="utf-8"?><Relationships xmlns="http://schemas.openxmlformats.org/package/2006/relationships"><Relationship Type="http://schemas.openxmlformats.org/officeDocument/2006/relationships/image" Target="/media/image.png" Id="R8f36284ff8424766" /></Relationships>
</file>