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91c6cad5244b91"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3c-Proportion of patients with ST-segment-elevation myocardial infarction (STEMI) treated with percutaneous coronary intervention (PCI) within 90 minutes of first clinical contact,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3c-Proportion of patients with ST-segment-elevation myocardial infarction (STEMI) treated with percutaneous coronary intervention (PCI) within 90 minutes of first clinical contact,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3c-Proportion of patients with STEMI treated with PCI within 90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485dda8394f4f">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2fc235b0672d40ac">
              <w:r>
                <w:rPr>
                  <w:rStyle w:val="Hyperlink"/>
                  <w:b/>
                </w:rPr>
                <w:t xml:space="preserve">ST-segment-elevation myocardial infarction (STEMI) </w:t>
              </w:r>
            </w:hyperlink>
            <w:r>
              <w:rPr>
                <w:rStyle w:val="row-content-rich-text"/>
              </w:rPr>
              <w:t xml:space="preserve">treated with percutaneous coronary intervention (PCI), within 90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4efbb9999b463e">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c771499ccc44217">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clinical contact" is defined as a paramedic or nurse who can administer fibrinolysis.</w:t>
            </w:r>
          </w:p>
          <w:p>
            <w:pPr>
              <w:spacing w:after="160"/>
            </w:pPr>
            <w:r>
              <w:rPr>
                <w:rStyle w:val="row-content-rich-text"/>
              </w:rPr>
              <w:t xml:space="preserve">Both the numerator and the denominator include patients with STEMI.</w:t>
            </w:r>
          </w:p>
          <w:p>
            <w:pPr>
              <w:spacing w:after="160"/>
            </w:pPr>
            <w:r>
              <w:rPr>
                <w:rStyle w:val="row-content-rich-text"/>
              </w:rPr>
              <w:t xml:space="preserve">For the numerator, patients undergoing PCI include those for which one of the following </w:t>
            </w:r>
            <w:hyperlink w:history="true" r:id="Rc925bf45429046cc">
              <w:r>
                <w:rPr>
                  <w:rStyle w:val="Hyperlink"/>
                </w:rPr>
                <w:t xml:space="preserve">Episode of admitted patient care—procedure, code (ACHI 11th edn) NNNNN-NN</w:t>
              </w:r>
            </w:hyperlink>
            <w:r>
              <w:rPr>
                <w:rStyle w:val="row-content-rich-text"/>
              </w:rPr>
              <w:t xml:space="preserve"> is recorded:</w:t>
            </w:r>
          </w:p>
          <w:p>
            <w:pPr>
              <w:pStyle w:val="ListParagraph"/>
              <w:numPr>
                <w:ilvl w:val="0"/>
                <w:numId w:val="2"/>
              </w:numPr>
            </w:pPr>
            <w:r>
              <w:rPr>
                <w:rStyle w:val="row-content-rich-text"/>
              </w:rPr>
              <w:t xml:space="preserve">38300-00 [670] Percutaneous transluminal balloon angioplasty of 1 coronary artery</w:t>
            </w:r>
          </w:p>
          <w:p>
            <w:pPr>
              <w:pStyle w:val="ListParagraph"/>
              <w:numPr>
                <w:ilvl w:val="0"/>
                <w:numId w:val="2"/>
              </w:numPr>
            </w:pPr>
            <w:r>
              <w:rPr>
                <w:rStyle w:val="row-content-rich-text"/>
              </w:rPr>
              <w:t xml:space="preserve">38303-00 [670] Percutaneous transluminal balloon angioplasty of &gt;=2 coronary arteries</w:t>
            </w:r>
          </w:p>
          <w:p>
            <w:pPr>
              <w:pStyle w:val="ListParagraph"/>
              <w:numPr>
                <w:ilvl w:val="0"/>
                <w:numId w:val="2"/>
              </w:numPr>
            </w:pPr>
            <w:r>
              <w:rPr>
                <w:rStyle w:val="row-content-rich-text"/>
              </w:rPr>
              <w:t xml:space="preserve">38306-00 [671] Percutaneous insertion of 1 transluminal stent into single coronary artery</w:t>
            </w:r>
          </w:p>
          <w:p>
            <w:pPr>
              <w:pStyle w:val="ListParagraph"/>
              <w:numPr>
                <w:ilvl w:val="0"/>
                <w:numId w:val="2"/>
              </w:numPr>
            </w:pPr>
            <w:r>
              <w:rPr>
                <w:rStyle w:val="row-content-rich-text"/>
              </w:rPr>
              <w:t xml:space="preserve">38306-01 [671] Percutaneous insertion of &gt;= 2 transluminal stents into single coronary artery</w:t>
            </w:r>
          </w:p>
          <w:p>
            <w:pPr>
              <w:pStyle w:val="ListParagraph"/>
              <w:numPr>
                <w:ilvl w:val="0"/>
                <w:numId w:val="2"/>
              </w:numPr>
            </w:pPr>
            <w:r>
              <w:rPr>
                <w:rStyle w:val="row-content-rich-text"/>
              </w:rPr>
              <w:t xml:space="preserve">38306-02 [671] Percutaneous insertion of &gt;= 2 transluminal stents into multiple coronary arteries.</w:t>
            </w:r>
          </w:p>
          <w:p>
            <w:pPr>
              <w:spacing w:after="160"/>
            </w:pPr>
            <w:r>
              <w:rPr>
                <w:rStyle w:val="row-content-rich-text"/>
              </w:rPr>
              <w:t xml:space="preserve">The denominator excludes patients for whom PCI is contraindicated (where the contraindication is documented in their medical record). Contraindications for PCI and fibrinolysis may include advance care directives, being on a palliative care pathway, and clinical judgement, subject to discussion with patients, family and carers.</w:t>
            </w:r>
          </w:p>
          <w:p>
            <w:pPr>
              <w:spacing w:after="160"/>
            </w:pPr>
            <w:r>
              <w:rPr>
                <w:rStyle w:val="row-content-rich-text"/>
              </w:rPr>
              <w:t xml:space="preserve">For patients first seen by a paramedic who can administer fibrinolysis, time of first clinical contact is the time the paramedic first saw the patients. For those patients who are NOT seen been a paramedic who can administer fibrinolysis, time of first clinical contact is the time of presentation at hospital. Or in the case where the patient is transfered from a non-PCI capable hospital, the time of presentation at the first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treated with PCI, within 90 minutes of first clinical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who arrive at a PCI-capable hospital or are transferred from a non PCI‑capable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this target of 90 minutes is difficult to achieve in the management of patients with STEMI who suffer a cardiac arrest, and for whom advanced resuscitation is effected prior to PCI.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tc>
      </w:tr>
    </w:tbl>
    <w:p>
      <w:r>
        <w:br/>
      </w:r>
    </w:p>
    <w:sectPr>
      <w:footerReference xmlns:r="http://schemas.openxmlformats.org/officeDocument/2006/relationships" w:type="default" r:id="R241189a7d32b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c854eb2c4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1189a7d32b46f3" /><Relationship Type="http://schemas.openxmlformats.org/officeDocument/2006/relationships/header" Target="/word/header1.xml" Id="R23a2d404df374833" /><Relationship Type="http://schemas.openxmlformats.org/officeDocument/2006/relationships/settings" Target="/word/settings.xml" Id="R547f0a4be7b446b4" /><Relationship Type="http://schemas.openxmlformats.org/officeDocument/2006/relationships/styles" Target="/word/styles.xml" Id="R0df7f1e34a024767" /><Relationship Type="http://schemas.openxmlformats.org/officeDocument/2006/relationships/hyperlink" Target="https://meteor.aihw.gov.au/RegistrationAuthority/18" TargetMode="External" Id="R71c485dda8394f4f" /><Relationship Type="http://schemas.openxmlformats.org/officeDocument/2006/relationships/hyperlink" Target="https://meteor.aihw.gov.au/content/721546" TargetMode="External" Id="R2fc235b0672d40ac" /><Relationship Type="http://schemas.openxmlformats.org/officeDocument/2006/relationships/hyperlink" Target="https://meteor.aihw.gov.au/content/719380" TargetMode="External" Id="R684efbb9999b463e" /><Relationship Type="http://schemas.openxmlformats.org/officeDocument/2006/relationships/hyperlink" Target="https://meteor.aihw.gov.au/RegistrationAuthority/18" TargetMode="External" Id="R2c771499ccc44217" /><Relationship Type="http://schemas.openxmlformats.org/officeDocument/2006/relationships/hyperlink" Target="https://meteor.aihw.gov.au/content/589101" TargetMode="External" Id="Rc925bf45429046cc" /><Relationship Type="http://schemas.openxmlformats.org/officeDocument/2006/relationships/numbering" Target="/word/numbering.xml" Id="R84440364f5fa4a9b" /></Relationships>
</file>

<file path=word/_rels/header1.xml.rels>&#65279;<?xml version="1.0" encoding="utf-8"?><Relationships xmlns="http://schemas.openxmlformats.org/package/2006/relationships"><Relationship Type="http://schemas.openxmlformats.org/officeDocument/2006/relationships/image" Target="/media/image.png" Id="R455c854eb2c449a2" /></Relationships>
</file>