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57a9b7dd074fe9" /></Relationships>
</file>

<file path=word/document.xml><?xml version="1.0" encoding="utf-8"?>
<w:document xmlns:r="http://schemas.openxmlformats.org/officeDocument/2006/relationships" xmlns:w="http://schemas.openxmlformats.org/wordprocessingml/2006/main">
  <w:body>
    <w:p>
      <w:pPr>
        <w:pStyle w:val="Title"/>
      </w:pPr>
      <w:r>
        <w:t>Acute coronary syndromes clinical care standard indicators: 3b-Proportion of patients with ST-segment-elevation myocardial infarction(STEMI) receiving fibrinolysis before or within 30 minutes of hospital presentation, 2019- </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clinical care standard indicators: 3b-Proportion of patients with ST-segment-elevation myocardial infarction(STEMI) receiving fibrinolysis before or within 30 minutes of hospital presentation, 2019-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3b-Proportion of patients with STEMI receiving fibrinolysis before or within 30 minutes of hospital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a019d909934462">
              <w:r>
                <w:rPr>
                  <w:rStyle w:val="Hyperlink"/>
                  <w:color w:val="244061"/>
                </w:rPr>
                <w:t xml:space="preserve">Australian Commission on Safety and Quality in Health Care</w:t>
              </w:r>
            </w:hyperlink>
            <w:r>
              <w:rPr>
                <w:rStyle w:val="row-content"/>
                <w:color w:val="244061"/>
              </w:rPr>
              <w:t xml:space="preserve">, Qualified 17/09/2019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w:t>
            </w:r>
            <w:hyperlink w:tooltip="For the purposes of the Acute coronary syndromes clinical care standard (ACSQHC 2019), an ST-segment-elevation myocardial infarction (STEMI) is one type of acute coronary syndrome.  It is when a myocardial infarction is prolonged, leading to more sever..." w:history="true" r:id="R04c32f2be06144f9">
              <w:r>
                <w:rPr>
                  <w:rStyle w:val="Hyperlink"/>
                  <w:b/>
                </w:rPr>
                <w:t xml:space="preserve">ST-segment-elevation myocardial infarction (STEMI)</w:t>
              </w:r>
            </w:hyperlink>
            <w:hyperlink w:tooltip="For the purposes of the Acute coronary syndromes clinical care standard (ACSQHC 2014), an ST-segment-elevation myocardial infarction (STEMI) is one type of acute coronary syndrome.  It is when a myocardial infarction is prolonged, leading to more sever..." w:history="true" r:id="R42a433dc55014c2d">
              <w:r>
                <w:rPr>
                  <w:rStyle w:val="Hyperlink"/>
                  <w:b/>
                </w:rPr>
                <w:t xml:space="preserve"> </w:t>
              </w:r>
            </w:hyperlink>
            <w:r>
              <w:rPr>
                <w:rStyle w:val="row-content-rich-text"/>
              </w:rPr>
              <w:t xml:space="preserve">whose first emergency clinical contact is within 12 hours of symptom onset, treated with fibrinolysis before or within 30 minutes of hospital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0448e853fb147d6">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245623bb772b454b">
              <w:r>
                <w:rPr>
                  <w:rStyle w:val="Hyperlink"/>
                  <w:color w:val="244061"/>
                </w:rPr>
                <w:t xml:space="preserve">Australian Commission on Safety and Quality in Health Care</w:t>
              </w:r>
            </w:hyperlink>
            <w:r>
              <w:rPr>
                <w:rStyle w:val="row-content"/>
                <w:color w:val="244061"/>
              </w:rPr>
              <w:t xml:space="preserve">, Standard 29/10/2020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STEMI.</w:t>
            </w:r>
          </w:p>
          <w:p>
            <w:pPr>
              <w:spacing w:after="160"/>
            </w:pPr>
            <w:r>
              <w:rPr>
                <w:rStyle w:val="row-content-rich-text"/>
              </w:rPr>
              <w:t xml:space="preserve">The numerator also includes patients who are administered fibrinolytic drugs. For hospitals using the </w:t>
            </w:r>
            <w:hyperlink w:history="true" r:id="Ra3f9bc9cda4c4430">
              <w:r>
                <w:rPr>
                  <w:rStyle w:val="Hyperlink"/>
                </w:rPr>
                <w:t xml:space="preserve">Acute coronary syndrome (clinical) National best practice data set</w:t>
              </w:r>
            </w:hyperlink>
            <w:r>
              <w:rPr>
                <w:rStyle w:val="row-content-rich-text"/>
              </w:rPr>
              <w:t xml:space="preserve">, the data element </w:t>
            </w:r>
            <w:hyperlink w:history="true" r:id="Rfeac5a163a654663">
              <w:r>
                <w:rPr>
                  <w:rStyle w:val="Hyperlink"/>
                </w:rPr>
                <w:t xml:space="preserve">Person—fibrinolytic drug administered, code N</w:t>
              </w:r>
            </w:hyperlink>
            <w:r>
              <w:rPr>
                <w:rStyle w:val="row-content-rich-text"/>
              </w:rPr>
              <w:t xml:space="preserve"> can be used to indicate fibrinolytic drug therapy, where the values are one of the following:</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1</w:t>
                  </w:r>
                </w:p>
              </w:tc>
              <w:tc>
                <w:tcPr>
                  <w:tcW w:w="4000" w:type="pct"/>
                  <w:vAlign w:val="top"/>
                </w:tcPr>
                <w:p>
                  <w:r>
                    <w:t xml:space="preserve">Streptokinase</w:t>
                  </w:r>
                </w:p>
              </w:tc>
            </w:tr>
            <w:tr>
              <w:trPr/>
              <w:tc>
                <w:tcPr>
                  <w:tcW w:w="1000" w:type="pct"/>
                  <w:vAlign w:val="top"/>
                </w:tcPr>
                <w:p>
                  <w:r>
                    <w:t xml:space="preserve">2</w:t>
                  </w:r>
                </w:p>
              </w:tc>
              <w:tc>
                <w:tcPr>
                  <w:tcW w:w="4000" w:type="pct"/>
                  <w:vAlign w:val="top"/>
                </w:tcPr>
                <w:p>
                  <w:r>
                    <w:t xml:space="preserve">t-PA (Tissue Plasminogen Activator) (Alteplase)</w:t>
                  </w:r>
                </w:p>
              </w:tc>
            </w:tr>
            <w:tr>
              <w:trPr/>
              <w:tc>
                <w:tcPr>
                  <w:tcW w:w="1000" w:type="pct"/>
                  <w:vAlign w:val="top"/>
                </w:tcPr>
                <w:p>
                  <w:r>
                    <w:t xml:space="preserve">3</w:t>
                  </w:r>
                </w:p>
              </w:tc>
              <w:tc>
                <w:tcPr>
                  <w:tcW w:w="4000" w:type="pct"/>
                  <w:vAlign w:val="top"/>
                </w:tcPr>
                <w:p>
                  <w:r>
                    <w:t xml:space="preserve">r-PA (Reteplase)</w:t>
                  </w:r>
                </w:p>
              </w:tc>
            </w:tr>
            <w:tr>
              <w:trPr/>
              <w:tc>
                <w:tcPr>
                  <w:tcW w:w="1000" w:type="pct"/>
                  <w:vAlign w:val="top"/>
                </w:tcPr>
                <w:p>
                  <w:r>
                    <w:t xml:space="preserve">4</w:t>
                  </w:r>
                </w:p>
              </w:tc>
              <w:tc>
                <w:tcPr>
                  <w:tcW w:w="4000" w:type="pct"/>
                  <w:vAlign w:val="top"/>
                </w:tcPr>
                <w:p>
                  <w:r>
                    <w:t xml:space="preserve">TNK t-PA (Tenecteplase)</w:t>
                  </w:r>
                </w:p>
              </w:tc>
            </w:tr>
          </w:tbl>
          <w:p>
            <w:r>
              <w:t xml:space="preserve">The denominator excludes patients for whom fibrinolysis is contraindicated (where the contraindication is documented in their medical record). (For hospitals using the </w:t>
            </w:r>
            <w:hyperlink w:history="true" r:id="Redd54fe8022b4c9d">
              <w:r>
                <w:rPr>
                  <w:rStyle w:val="Hyperlink"/>
                </w:rPr>
                <w:t xml:space="preserve">Acute coronary syndrome (clinical) National best practice data set</w:t>
              </w:r>
            </w:hyperlink>
            <w:r>
              <w:t xml:space="preserve">, contraindication for fibrinolytic therapy can be identified using the data element </w:t>
            </w:r>
            <w:hyperlink w:history="true" r:id="R8e026d889f7043a2">
              <w:r>
                <w:rPr>
                  <w:rStyle w:val="Hyperlink"/>
                </w:rPr>
                <w:t xml:space="preserve">Person—reason for non prescription of pharmacotherapy, code N</w:t>
              </w:r>
            </w:hyperlink>
            <w:r>
              <w:t xml:space="preserve">, where a value of 2 'Contraindicated' is recorded.) Contraindications may include advance care directives, being on a palliative care pathway, and clinical judgement, subject to discussion with patients, family and carers. The </w:t>
            </w:r>
            <w:r>
              <w:rPr>
                <w:i/>
              </w:rPr>
              <w:t xml:space="preserve">Australian clinical guidelines for the management of acute coronary syndromes 2016</w:t>
            </w:r>
            <w:r>
              <w:t xml:space="preserve"> (NHFA/CSANZ ACS Guideline 2016 Executive Working Group 2016) references both absolute and relative contraindications to the administration of fibrinolysis.</w:t>
            </w:r>
          </w:p>
          <w:p>
            <w: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STEMI arriving at the emergency department or being attended to by ambulance officers within 12 hours of symptom onset receiving fibrinolysis before or within 30 minutes of hospital presention.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STEMI arriving at the emergency department or being attended to by ambulance officers within 12 hours of symptom onset.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Heart Foundation of Australia &amp; Cardiac Society of Australia and New Zealand 2016 Executive Working Group 2016. </w:t>
            </w:r>
            <w:r>
              <w:rPr>
                <w:rStyle w:val="row-content-rich-text"/>
                <w:i/>
              </w:rPr>
              <w:t xml:space="preserve"> Clinical guidelines for the management of acute coronary syndromes 2016. </w:t>
            </w:r>
            <w:r>
              <w:rPr>
                <w:rStyle w:val="row-content-rich-text"/>
              </w:rPr>
              <w:t xml:space="preserve">Heart, Lung, and Circulation 25, 895-951.</w:t>
            </w:r>
          </w:p>
        </w:tc>
      </w:tr>
    </w:tbl>
    <w:p>
      <w:r>
        <w:br/>
      </w:r>
    </w:p>
    <w:sectPr>
      <w:footerReference xmlns:r="http://schemas.openxmlformats.org/officeDocument/2006/relationships" w:type="default" r:id="R48a03cfd4bf140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719390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2250df881644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a03cfd4bf14037" /><Relationship Type="http://schemas.openxmlformats.org/officeDocument/2006/relationships/header" Target="/word/header1.xml" Id="Rad0ceff728f64f94" /><Relationship Type="http://schemas.openxmlformats.org/officeDocument/2006/relationships/settings" Target="/word/settings.xml" Id="R9369dac9ef014d00" /><Relationship Type="http://schemas.openxmlformats.org/officeDocument/2006/relationships/styles" Target="/word/styles.xml" Id="R9e087383c22b4104" /><Relationship Type="http://schemas.openxmlformats.org/officeDocument/2006/relationships/hyperlink" Target="https://meteor.aihw.gov.au/RegistrationAuthority/18" TargetMode="External" Id="Rb0a019d909934462" /><Relationship Type="http://schemas.openxmlformats.org/officeDocument/2006/relationships/hyperlink" Target="https://meteor.aihw.gov.au/content/721546" TargetMode="External" Id="R04c32f2be06144f9" /><Relationship Type="http://schemas.openxmlformats.org/officeDocument/2006/relationships/hyperlink" Target="https://meteor.aihw.gov.au/content/629401" TargetMode="External" Id="R42a433dc55014c2d" /><Relationship Type="http://schemas.openxmlformats.org/officeDocument/2006/relationships/hyperlink" Target="https://meteor.aihw.gov.au/content/719380" TargetMode="External" Id="Rd0448e853fb147d6" /><Relationship Type="http://schemas.openxmlformats.org/officeDocument/2006/relationships/hyperlink" Target="https://meteor.aihw.gov.au/RegistrationAuthority/18" TargetMode="External" Id="R245623bb772b454b" /><Relationship Type="http://schemas.openxmlformats.org/officeDocument/2006/relationships/hyperlink" Target="https://meteor.aihw.gov.au/content/621789" TargetMode="External" Id="Ra3f9bc9cda4c4430" /><Relationship Type="http://schemas.openxmlformats.org/officeDocument/2006/relationships/hyperlink" Target="https://meteor.aihw.gov.au/content/356870" TargetMode="External" Id="Rfeac5a163a654663" /><Relationship Type="http://schemas.openxmlformats.org/officeDocument/2006/relationships/hyperlink" Target="https://meteor.aihw.gov.au/content/621789" TargetMode="External" Id="Redd54fe8022b4c9d" /><Relationship Type="http://schemas.openxmlformats.org/officeDocument/2006/relationships/hyperlink" Target="https://meteor.aihw.gov.au/content/347222" TargetMode="External" Id="R8e026d889f7043a2" /></Relationships>
</file>

<file path=word/_rels/header1.xml.rels>&#65279;<?xml version="1.0" encoding="utf-8"?><Relationships xmlns="http://schemas.openxmlformats.org/package/2006/relationships"><Relationship Type="http://schemas.openxmlformats.org/officeDocument/2006/relationships/image" Target="/media/image.png" Id="R5e2250df8816448b" /></Relationships>
</file>