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f57018a704efb"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3b-Proportion of patients with ST-segment-elevation myocardial infarction(STEMI) receiving fibrinolysis before or within 30 minutes of hospital presentation, 2019-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3b-Proportion of patients with ST-segment-elevation myocardial infarction(STEMI) receiving fibrinolysis before or within 30 minutes of hospital presentation, 2019-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3b-Proportion of patients with STEMI receiving fibrinolysis before or within 30 minutes of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53d132c8d467b">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9), an ST-segment-elevation myocardial infarction (STEMI) is one type of acute coronary syndrome.  It is when a myocardial infarction is prolonged, leading to more sever..." w:history="true" r:id="R36b7465ebb3847b7">
              <w:r>
                <w:rPr>
                  <w:rStyle w:val="Hyperlink"/>
                  <w:b/>
                </w:rPr>
                <w:t xml:space="preserve">ST-segment-elevation myocardial infarction (STEMI)</w:t>
              </w:r>
            </w:hyperlink>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ffa0f627c71b4f27">
              <w:r>
                <w:rPr>
                  <w:rStyle w:val="Hyperlink"/>
                  <w:b/>
                </w:rPr>
                <w:t xml:space="preserve"> </w:t>
              </w:r>
            </w:hyperlink>
            <w:r>
              <w:rPr>
                <w:rStyle w:val="row-content-rich-text"/>
              </w:rPr>
              <w:t xml:space="preserve">whose first emergency clinical contact is within 12 hours of symptom onset, treated with fibrinolysis before or within 30 minutes of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d913b6dab24e5c">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339f7474c322422d">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The numerator also includes patients who are administered fibrinolytic drugs. For hospitals using the </w:t>
            </w:r>
            <w:hyperlink w:history="true" r:id="R7accbd3e98f34949">
              <w:r>
                <w:rPr>
                  <w:rStyle w:val="Hyperlink"/>
                </w:rPr>
                <w:t xml:space="preserve">Acute coronary syndrome (clinical) National best practice data set</w:t>
              </w:r>
            </w:hyperlink>
            <w:r>
              <w:rPr>
                <w:rStyle w:val="row-content-rich-text"/>
              </w:rPr>
              <w:t xml:space="preserve">, the data element </w:t>
            </w:r>
            <w:hyperlink w:history="true" r:id="R843e409205ab4b21">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fibrinolysis is contraindicated (where the contraindication is documented in their medical record). (For hospitals using the </w:t>
            </w:r>
            <w:hyperlink w:history="true" r:id="R572463dc8ba34a17">
              <w:r>
                <w:rPr>
                  <w:rStyle w:val="Hyperlink"/>
                </w:rPr>
                <w:t xml:space="preserve">Acute coronary syndrome (clinical) National best practice data set</w:t>
              </w:r>
            </w:hyperlink>
            <w:r>
              <w:t xml:space="preserve">, contraindication for fibrinolytic therapy can be identified using the data element </w:t>
            </w:r>
            <w:hyperlink w:history="true" r:id="R1140e3ab65554ba7">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 The </w:t>
            </w:r>
            <w:r>
              <w:rPr>
                <w:i/>
              </w:rPr>
              <w:t xml:space="preserve">Australian clinical guidelines for the management of acute coronary syndromes 2016</w:t>
            </w:r>
            <w:r>
              <w:t xml:space="preserve"> (NHFA/CSANZ ACS Guideline 2016 Executive Working Group 2016) references both absolute and relative contraindications to the administration of fibrinolysis.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receiving fibrinolysis before or within 30 minutes of hospital presention.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2016 Executive Working Group 2016. </w:t>
            </w:r>
            <w:r>
              <w:rPr>
                <w:rStyle w:val="row-content-rich-text"/>
                <w:i/>
              </w:rPr>
              <w:t xml:space="preserve"> Clinical guidelines for the management of acute coronary syndromes 2016. </w:t>
            </w:r>
            <w:r>
              <w:rPr>
                <w:rStyle w:val="row-content-rich-text"/>
              </w:rPr>
              <w:t xml:space="preserve">Heart, Lung, and Circulation 25, 895-951.</w:t>
            </w:r>
          </w:p>
        </w:tc>
      </w:tr>
    </w:tbl>
    <w:p>
      <w:r>
        <w:br/>
      </w:r>
    </w:p>
    <w:sectPr>
      <w:footerReference xmlns:r="http://schemas.openxmlformats.org/officeDocument/2006/relationships" w:type="default" r:id="R5861bfc9f2584e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719390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73134afdb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1bfc9f2584eec" /><Relationship Type="http://schemas.openxmlformats.org/officeDocument/2006/relationships/header" Target="/word/header1.xml" Id="R4286b44771dd4948" /><Relationship Type="http://schemas.openxmlformats.org/officeDocument/2006/relationships/settings" Target="/word/settings.xml" Id="R469edd9677914c61" /><Relationship Type="http://schemas.openxmlformats.org/officeDocument/2006/relationships/styles" Target="/word/styles.xml" Id="Rce133558951a4e73" /><Relationship Type="http://schemas.openxmlformats.org/officeDocument/2006/relationships/hyperlink" Target="https://meteor.aihw.gov.au/RegistrationAuthority/18" TargetMode="External" Id="R71653d132c8d467b" /><Relationship Type="http://schemas.openxmlformats.org/officeDocument/2006/relationships/hyperlink" Target="https://meteor.aihw.gov.au/content/721546" TargetMode="External" Id="R36b7465ebb3847b7" /><Relationship Type="http://schemas.openxmlformats.org/officeDocument/2006/relationships/hyperlink" Target="https://meteor.aihw.gov.au/content/629401" TargetMode="External" Id="Rffa0f627c71b4f27" /><Relationship Type="http://schemas.openxmlformats.org/officeDocument/2006/relationships/hyperlink" Target="https://meteor.aihw.gov.au/content/719380" TargetMode="External" Id="Re3d913b6dab24e5c" /><Relationship Type="http://schemas.openxmlformats.org/officeDocument/2006/relationships/hyperlink" Target="https://meteor.aihw.gov.au/RegistrationAuthority/18" TargetMode="External" Id="R339f7474c322422d" /><Relationship Type="http://schemas.openxmlformats.org/officeDocument/2006/relationships/hyperlink" Target="https://meteor.aihw.gov.au/content/621789" TargetMode="External" Id="R7accbd3e98f34949" /><Relationship Type="http://schemas.openxmlformats.org/officeDocument/2006/relationships/hyperlink" Target="https://meteor.aihw.gov.au/content/356870" TargetMode="External" Id="R843e409205ab4b21" /><Relationship Type="http://schemas.openxmlformats.org/officeDocument/2006/relationships/hyperlink" Target="https://meteor.aihw.gov.au/content/621789" TargetMode="External" Id="R572463dc8ba34a17" /><Relationship Type="http://schemas.openxmlformats.org/officeDocument/2006/relationships/hyperlink" Target="https://meteor.aihw.gov.au/content/347222" TargetMode="External" Id="R1140e3ab65554ba7" /></Relationships>
</file>

<file path=word/_rels/header1.xml.rels>&#65279;<?xml version="1.0" encoding="utf-8"?><Relationships xmlns="http://schemas.openxmlformats.org/package/2006/relationships"><Relationship Type="http://schemas.openxmlformats.org/officeDocument/2006/relationships/image" Target="/media/image.png" Id="R99f73134afdb4e2a" /></Relationships>
</file>