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0130233884f10"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2a-Proportion of patients with symptoms suggestive of acute coronary syndrome (ACS) with an electrocardiogram (ECG) performed and interpreted within 10 minutes of first clinical contact,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2a-Proportion of patients with symptoms suggestive of acute coronary syndrome (ACS) with an electrocardiogram (ECG) performed and interpreted within 10 minutes of first clinical contact,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 Proportion of patients with an ECG performed and interpreted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faf92f7b642ea">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acute chest pain or other symptoms suggestive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fe15c067ba3b47ba">
              <w:r>
                <w:rPr>
                  <w:rStyle w:val="Hyperlink"/>
                  <w:b/>
                </w:rPr>
                <w:t xml:space="preserve">acute coronary syndrome</w:t>
              </w:r>
            </w:hyperlink>
            <w:r>
              <w:rPr>
                <w:rStyle w:val="row-content-rich-text"/>
              </w:rPr>
              <w:t xml:space="preserve"> (ACS), with an 12-lead electrocardiogram (ECG) performed and interpreted before or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1e4f34b7fa4a21">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e6e1677ed674fc8">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with acute chest pain or other symptoms suggestive of ACS.</w:t>
            </w:r>
          </w:p>
          <w:p>
            <w:pPr>
              <w:spacing w:after="160"/>
            </w:pPr>
            <w:r>
              <w:rPr>
                <w:rStyle w:val="row-content-rich-text"/>
              </w:rPr>
              <w:t xml:space="preserve">‘First clinical contact’ is defined as the time that emergency medical services personnel arrive at the patient or presentation time at the emergency department.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acute chest pain or other symptoms suggestive of ACS with 12- lead ECG performed and interpreted before or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ED, including via ambulance,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common practice for clinicians to sign ECGs on review with date and time of review.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fb220ba1c64a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b6fbf2407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20ba1c64a4724" /><Relationship Type="http://schemas.openxmlformats.org/officeDocument/2006/relationships/header" Target="/word/header1.xml" Id="R4b1c13a8aa8c4225" /><Relationship Type="http://schemas.openxmlformats.org/officeDocument/2006/relationships/settings" Target="/word/settings.xml" Id="R25db50ea264944e0" /><Relationship Type="http://schemas.openxmlformats.org/officeDocument/2006/relationships/styles" Target="/word/styles.xml" Id="R1fffd17fec1845d6" /><Relationship Type="http://schemas.openxmlformats.org/officeDocument/2006/relationships/hyperlink" Target="https://meteor.aihw.gov.au/RegistrationAuthority/18" TargetMode="External" Id="Rb5dfaf92f7b642ea" /><Relationship Type="http://schemas.openxmlformats.org/officeDocument/2006/relationships/hyperlink" Target="https://meteor.aihw.gov.au/content/721541" TargetMode="External" Id="Rfe15c067ba3b47ba" /><Relationship Type="http://schemas.openxmlformats.org/officeDocument/2006/relationships/hyperlink" Target="https://meteor.aihw.gov.au/content/719380" TargetMode="External" Id="R911e4f34b7fa4a21" /><Relationship Type="http://schemas.openxmlformats.org/officeDocument/2006/relationships/hyperlink" Target="https://meteor.aihw.gov.au/RegistrationAuthority/18" TargetMode="External" Id="R2e6e1677ed674fc8" /></Relationships>
</file>

<file path=word/_rels/header1.xml.rels>&#65279;<?xml version="1.0" encoding="utf-8"?><Relationships xmlns="http://schemas.openxmlformats.org/package/2006/relationships"><Relationship Type="http://schemas.openxmlformats.org/officeDocument/2006/relationships/image" Target="/media/image.png" Id="R4c3b6fbf2407431b" /></Relationships>
</file>