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10088c0ee4457"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acute coronary syndromes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acute coronary syndromes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52471088340b1">
              <w:r>
                <w:rPr>
                  <w:rStyle w:val="Hyperlink"/>
                  <w:color w:val="244061"/>
                </w:rPr>
                <w:t xml:space="preserve">Australian Commission on Safety and Quality in Health Care</w:t>
              </w:r>
            </w:hyperlink>
            <w:r>
              <w:rPr>
                <w:rStyle w:val="row-content"/>
                <w:color w:val="244061"/>
              </w:rPr>
              <w:t xml:space="preserve">, Standard 29/10/2020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coronary syndromes clinical care standard indicators to support local implementation of the Acute coronary syndromes clinical care standard (ACSQHC 2019). The Acute coronary syndromes clinical care standard aims to ensure that patients with an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d643075b65d64b67">
              <w:r>
                <w:rPr>
                  <w:rStyle w:val="Hyperlink"/>
                  <w:b/>
                </w:rPr>
                <w:t xml:space="preserve">acute coronary syndrome</w:t>
              </w:r>
            </w:hyperlink>
            <w:r>
              <w:rPr>
                <w:rStyle w:val="row-content-rich-text"/>
              </w:rPr>
              <w:t xml:space="preserve"> receive optimal treatment from the onset of symptoms through to separation from hospital. This includes recognition of an acute coronary syndrome, rapid assessment, early management and early initiation of a tailored rehabilitation plan. Clinicians and health services can use the Acute coronary syndromes clinical care standard and indicators to support the delivery of high quality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85dc73fed0e4de6">
              <w:r>
                <w:rPr>
                  <w:rStyle w:val="Hyperlink"/>
                </w:rPr>
                <w:t xml:space="preserve">Acute coronary syndromes clinical care standard indicators: 1a-Proportion of patients presenting with symptoms suggestive of acute coronary syndrome (ACS) whose care is guided by a documented chest pain assessment pathway, 2019-</w:t>
              </w:r>
            </w:hyperlink>
          </w:p>
          <w:p>
            <w:pPr>
              <w:spacing w:before="0" w:after="0"/>
            </w:pPr>
            <w:r>
              <w:rPr>
                <w:rStyle w:val="row-content"/>
                <w:color w:val="244061"/>
              </w:rPr>
              <w:t xml:space="preserve">       </w:t>
            </w:r>
            <w:hyperlink w:history="true" r:id="R5833953ef99c43b0">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eff47f78e3b94423">
              <w:r>
                <w:rPr>
                  <w:rStyle w:val="Hyperlink"/>
                </w:rPr>
                <w:t xml:space="preserve">Acute coronary syndromes clinical care standard indicators: 2a-Proportion of patients with symptoms suggestive of acute coronary syndrome (ACS) with an electrocardiogram (ECG) performed and interpreted within 10 minutes of first clinical contact, 2019-</w:t>
              </w:r>
            </w:hyperlink>
          </w:p>
          <w:p>
            <w:pPr>
              <w:spacing w:before="0" w:after="0"/>
            </w:pPr>
            <w:r>
              <w:rPr>
                <w:rStyle w:val="row-content"/>
                <w:color w:val="244061"/>
              </w:rPr>
              <w:t xml:space="preserve">       </w:t>
            </w:r>
            <w:hyperlink w:history="true" r:id="R076df44b6c204a62">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9677eb1b772146b2">
              <w:r>
                <w:rPr>
                  <w:rStyle w:val="Hyperlink"/>
                </w:rPr>
                <w:t xml:space="preserve">Acute coronary syndromes clinical care standard indicators: 3a-Proportion of patients with ST-segment-elevation myocardial infarction (STEMI) receiving fibrinolysis or percutaneous coronary intervention (PCI), 2019-</w:t>
              </w:r>
            </w:hyperlink>
          </w:p>
          <w:p>
            <w:pPr>
              <w:spacing w:before="0" w:after="0"/>
            </w:pPr>
            <w:r>
              <w:rPr>
                <w:rStyle w:val="row-content"/>
                <w:color w:val="244061"/>
              </w:rPr>
              <w:t xml:space="preserve">       </w:t>
            </w:r>
            <w:hyperlink w:history="true" r:id="R6818ece018124448">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a242f1be03d14c95">
              <w:r>
                <w:rPr>
                  <w:rStyle w:val="Hyperlink"/>
                </w:rPr>
                <w:t xml:space="preserve">Acute coronary syndromes clinical care standard indicators: 3b-Proportion of patients with ST-segment-elevation myocardial infarction(STEMI) receiving fibrinolysis before or within 30 minutes of hospital presentation, 2019- </w:t>
              </w:r>
            </w:hyperlink>
          </w:p>
          <w:p>
            <w:pPr>
              <w:spacing w:before="0" w:after="0"/>
            </w:pPr>
            <w:r>
              <w:rPr>
                <w:rStyle w:val="row-content"/>
                <w:color w:val="244061"/>
              </w:rPr>
              <w:t xml:space="preserve">       </w:t>
            </w:r>
            <w:hyperlink w:history="true" r:id="R572889a6939a4c1c">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beed584ee52e48e4">
              <w:r>
                <w:rPr>
                  <w:rStyle w:val="Hyperlink"/>
                </w:rPr>
                <w:t xml:space="preserve">Acute coronary syndromes clinical care standard indicators: 3c-Proportion of patients with ST-segment-elevation myocardial infarction (STEMI) treated with percutaneous coronary intervention (PCI) within 90 minutes of first clinical contact, 2019-</w:t>
              </w:r>
            </w:hyperlink>
          </w:p>
          <w:p>
            <w:pPr>
              <w:spacing w:before="0" w:after="0"/>
            </w:pPr>
            <w:r>
              <w:rPr>
                <w:rStyle w:val="row-content"/>
                <w:color w:val="244061"/>
              </w:rPr>
              <w:t xml:space="preserve">       </w:t>
            </w:r>
            <w:hyperlink w:history="true" r:id="R3d550fc0749a4f64">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b1e2ced754aa442e">
              <w:r>
                <w:rPr>
                  <w:rStyle w:val="Hyperlink"/>
                </w:rPr>
                <w:t xml:space="preserve">Acute coronary syndromes clinical care standard indicators: 4a-Proportion of patients with non-ST-segment-elevation acute coronary syndrome (NSTEACS) who have a documented assessment and risk stratification using a guideline-recommended tool, 2019-</w:t>
              </w:r>
            </w:hyperlink>
          </w:p>
          <w:p>
            <w:pPr>
              <w:spacing w:before="0" w:after="0"/>
            </w:pPr>
            <w:r>
              <w:rPr>
                <w:rStyle w:val="row-content"/>
                <w:color w:val="244061"/>
              </w:rPr>
              <w:t xml:space="preserve">       </w:t>
            </w:r>
            <w:hyperlink w:history="true" r:id="Rbac2208972764330">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52ab99bf12b9437c">
              <w:r>
                <w:rPr>
                  <w:rStyle w:val="Hyperlink"/>
                </w:rPr>
                <w:t xml:space="preserve">Acute coronary syndromes clinical care standard indicators: 4b-Proportion of patients with non-ST-segment-elevation acute coronary syndrome (NSTEACS) transferred to a hospital with angiography facilities, 2019-</w:t>
              </w:r>
            </w:hyperlink>
          </w:p>
          <w:p>
            <w:pPr>
              <w:spacing w:before="0" w:after="0"/>
            </w:pPr>
            <w:r>
              <w:rPr>
                <w:rStyle w:val="row-content"/>
                <w:color w:val="244061"/>
              </w:rPr>
              <w:t xml:space="preserve">       </w:t>
            </w:r>
            <w:hyperlink w:history="true" r:id="R34fa8a4873764e75">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1f9786176a9b49b8">
              <w:r>
                <w:rPr>
                  <w:rStyle w:val="Hyperlink"/>
                </w:rPr>
                <w:t xml:space="preserve">Acute coronary syndromes clinical care standard indicators: 6a-Proportion of patients with acute coronary syndrome (ACS) provided with an individualised care plan, 2019-</w:t>
              </w:r>
            </w:hyperlink>
          </w:p>
          <w:p>
            <w:pPr>
              <w:spacing w:before="0" w:after="0"/>
            </w:pPr>
            <w:r>
              <w:rPr>
                <w:rStyle w:val="row-content"/>
                <w:color w:val="244061"/>
              </w:rPr>
              <w:t xml:space="preserve">       </w:t>
            </w:r>
            <w:hyperlink w:history="true" r:id="Rec555261e8024edd">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34b6c45be2114836">
              <w:r>
                <w:rPr>
                  <w:rStyle w:val="Hyperlink"/>
                </w:rPr>
                <w:t xml:space="preserve">Acute coronary syndromes clinical care standard indicators: 6b-Proportion patients with acute coronary syndrome (ACS) on aspirin or dual antiplatelet therapy on separation from hospital, 2019-</w:t>
              </w:r>
            </w:hyperlink>
          </w:p>
          <w:p>
            <w:pPr>
              <w:spacing w:before="0" w:after="0"/>
            </w:pPr>
            <w:r>
              <w:rPr>
                <w:rStyle w:val="row-content"/>
                <w:color w:val="244061"/>
              </w:rPr>
              <w:t xml:space="preserve">       </w:t>
            </w:r>
            <w:hyperlink w:history="true" r:id="Rc7d3d88049774a2b">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cc23a55152ee4e2a">
              <w:r>
                <w:rPr>
                  <w:rStyle w:val="Hyperlink"/>
                </w:rPr>
                <w:t xml:space="preserve">Acute coronary syndromes clinical care standard indicators: 6c-Proportion of patients with acute coronary syndrome (ACS) prescribed lipid-lowering therapy on separation from hospital, 2019-</w:t>
              </w:r>
            </w:hyperlink>
          </w:p>
          <w:p>
            <w:pPr>
              <w:spacing w:before="0" w:after="0"/>
            </w:pPr>
            <w:r>
              <w:rPr>
                <w:rStyle w:val="row-content"/>
                <w:color w:val="244061"/>
              </w:rPr>
              <w:t xml:space="preserve">       </w:t>
            </w:r>
            <w:hyperlink w:history="true" r:id="R09265342984f4168">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961913e8d5fb4b7a">
              <w:r>
                <w:rPr>
                  <w:rStyle w:val="Hyperlink"/>
                </w:rPr>
                <w:t xml:space="preserve">Acute coronary syndromes clinical care standard indicators: 6d-Proportion of patients with myocardial infarction who had their left ventricular ejection fraction(LVEF) measured prior to separation from hospital, 2019</w:t>
              </w:r>
            </w:hyperlink>
          </w:p>
          <w:p>
            <w:pPr>
              <w:spacing w:before="0" w:after="0"/>
            </w:pPr>
            <w:r>
              <w:rPr>
                <w:rStyle w:val="row-content"/>
                <w:color w:val="244061"/>
              </w:rPr>
              <w:t xml:space="preserve">       </w:t>
            </w:r>
            <w:hyperlink w:history="true" r:id="Rfae1454bd67946a4">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f358efe689624dcf">
              <w:r>
                <w:rPr>
                  <w:rStyle w:val="Hyperlink"/>
                </w:rPr>
                <w:t xml:space="preserve">Acute coronary syndromes clinical care standard indicators: 6e-Proportion of patients with reduced left ventricular ejection fraction(LVEF) prescribed a beta blocker and angiotensin-converting enzyme (ACE) inhibitor on separation from hospital, 2019-</w:t>
              </w:r>
            </w:hyperlink>
          </w:p>
          <w:p>
            <w:pPr>
              <w:spacing w:before="0" w:after="0"/>
            </w:pPr>
            <w:r>
              <w:rPr>
                <w:rStyle w:val="row-content"/>
                <w:color w:val="244061"/>
              </w:rPr>
              <w:t xml:space="preserve">       </w:t>
            </w:r>
            <w:hyperlink w:history="true" r:id="Rcdfe45c1568f458e">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6aa64f6a4c41437d">
              <w:r>
                <w:rPr>
                  <w:rStyle w:val="Hyperlink"/>
                </w:rPr>
                <w:t xml:space="preserve">Acute coronary syndromes clinical care standard indicators: 6f-Proportion of patients with acute coronary syndrome referred to cardiac rehabilitation or other secondary prevention program, 2019-</w:t>
              </w:r>
            </w:hyperlink>
          </w:p>
          <w:p>
            <w:pPr>
              <w:spacing w:before="0" w:after="0"/>
            </w:pPr>
            <w:r>
              <w:rPr>
                <w:rStyle w:val="row-content"/>
                <w:color w:val="244061"/>
              </w:rPr>
              <w:t xml:space="preserve">       </w:t>
            </w:r>
            <w:hyperlink w:history="true" r:id="R5159c7b62ec348a4">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e7c620e73d8245d9">
              <w:r>
                <w:rPr>
                  <w:rStyle w:val="Hyperlink"/>
                </w:rPr>
                <w:t xml:space="preserve">Acute coronary syndromes clinical care standard indicators: 6g-Proportion of patients with acute coronary syndrome whose discharge summary was provided to their general practitioner or ongoing clinical provider within 48 hours of separation from hospital</w:t>
              </w:r>
            </w:hyperlink>
          </w:p>
          <w:p>
            <w:pPr>
              <w:spacing w:before="0" w:after="0"/>
            </w:pPr>
            <w:r>
              <w:rPr>
                <w:rStyle w:val="row-content"/>
                <w:color w:val="244061"/>
              </w:rPr>
              <w:t xml:space="preserve">       </w:t>
            </w:r>
            <w:hyperlink w:history="true" r:id="R9b6d65d06dd14056">
              <w:r>
                <w:rPr>
                  <w:rStyle w:val="Hyperlink"/>
                  <w:color w:val="244061"/>
                </w:rPr>
                <w:t xml:space="preserve">Australian Commission on Safety and Quality in Health Care</w:t>
              </w:r>
            </w:hyperlink>
            <w:r>
              <w:rPr>
                <w:rStyle w:val="row-content"/>
                <w:color w:val="244061"/>
              </w:rPr>
              <w:t xml:space="preserve">, Qualified 17/09/2019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acute coronary syndromes clinical care standard has been developed to support local implementation of the Acute coronary syndromes clinical care standard (ACSQHC 2019).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6d9f262e16d4fe6">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Acute coronary syndromes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coronary syndromes clinical care standard (2019)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Acute coronary syndromes clinical care standard. Sydney: ACSQHC.</w:t>
            </w:r>
          </w:p>
        </w:tc>
      </w:tr>
    </w:tbl>
    <w:p>
      <w:r>
        <w:br/>
      </w:r>
    </w:p>
    <w:sectPr>
      <w:footerReference xmlns:r="http://schemas.openxmlformats.org/officeDocument/2006/relationships" w:type="default" r:id="Rbeabe1655b8e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d41f20649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be1655b8e41b3" /><Relationship Type="http://schemas.openxmlformats.org/officeDocument/2006/relationships/header" Target="/word/header1.xml" Id="R93a1cc2874104b50" /><Relationship Type="http://schemas.openxmlformats.org/officeDocument/2006/relationships/settings" Target="/word/settings.xml" Id="Rceaae12120664435" /><Relationship Type="http://schemas.openxmlformats.org/officeDocument/2006/relationships/styles" Target="/word/styles.xml" Id="R1d7d8f0d906b49e9" /><Relationship Type="http://schemas.openxmlformats.org/officeDocument/2006/relationships/hyperlink" Target="https://meteor.aihw.gov.au/RegistrationAuthority/18" TargetMode="External" Id="R80052471088340b1" /><Relationship Type="http://schemas.openxmlformats.org/officeDocument/2006/relationships/hyperlink" Target="https://meteor.aihw.gov.au/content/721541" TargetMode="External" Id="Rd643075b65d64b67" /><Relationship Type="http://schemas.openxmlformats.org/officeDocument/2006/relationships/hyperlink" Target="https://meteor.aihw.gov.au/content/719382" TargetMode="External" Id="R785dc73fed0e4de6" /><Relationship Type="http://schemas.openxmlformats.org/officeDocument/2006/relationships/hyperlink" Target="https://meteor.aihw.gov.au/RegistrationAuthority/18" TargetMode="External" Id="R5833953ef99c43b0" /><Relationship Type="http://schemas.openxmlformats.org/officeDocument/2006/relationships/hyperlink" Target="https://meteor.aihw.gov.au/content/719385" TargetMode="External" Id="Reff47f78e3b94423" /><Relationship Type="http://schemas.openxmlformats.org/officeDocument/2006/relationships/hyperlink" Target="https://meteor.aihw.gov.au/RegistrationAuthority/18" TargetMode="External" Id="R076df44b6c204a62" /><Relationship Type="http://schemas.openxmlformats.org/officeDocument/2006/relationships/hyperlink" Target="https://meteor.aihw.gov.au/content/719388" TargetMode="External" Id="R9677eb1b772146b2" /><Relationship Type="http://schemas.openxmlformats.org/officeDocument/2006/relationships/hyperlink" Target="https://meteor.aihw.gov.au/RegistrationAuthority/18" TargetMode="External" Id="R6818ece018124448" /><Relationship Type="http://schemas.openxmlformats.org/officeDocument/2006/relationships/hyperlink" Target="https://meteor.aihw.gov.au/content/719390" TargetMode="External" Id="Ra242f1be03d14c95" /><Relationship Type="http://schemas.openxmlformats.org/officeDocument/2006/relationships/hyperlink" Target="https://meteor.aihw.gov.au/RegistrationAuthority/18" TargetMode="External" Id="R572889a6939a4c1c" /><Relationship Type="http://schemas.openxmlformats.org/officeDocument/2006/relationships/hyperlink" Target="https://meteor.aihw.gov.au/content/719392" TargetMode="External" Id="Rbeed584ee52e48e4" /><Relationship Type="http://schemas.openxmlformats.org/officeDocument/2006/relationships/hyperlink" Target="https://meteor.aihw.gov.au/RegistrationAuthority/18" TargetMode="External" Id="R3d550fc0749a4f64" /><Relationship Type="http://schemas.openxmlformats.org/officeDocument/2006/relationships/hyperlink" Target="https://meteor.aihw.gov.au/content/719394" TargetMode="External" Id="Rb1e2ced754aa442e" /><Relationship Type="http://schemas.openxmlformats.org/officeDocument/2006/relationships/hyperlink" Target="https://meteor.aihw.gov.au/RegistrationAuthority/18" TargetMode="External" Id="Rbac2208972764330" /><Relationship Type="http://schemas.openxmlformats.org/officeDocument/2006/relationships/hyperlink" Target="https://meteor.aihw.gov.au/content/719396" TargetMode="External" Id="R52ab99bf12b9437c" /><Relationship Type="http://schemas.openxmlformats.org/officeDocument/2006/relationships/hyperlink" Target="https://meteor.aihw.gov.au/RegistrationAuthority/18" TargetMode="External" Id="R34fa8a4873764e75" /><Relationship Type="http://schemas.openxmlformats.org/officeDocument/2006/relationships/hyperlink" Target="https://meteor.aihw.gov.au/content/719398" TargetMode="External" Id="R1f9786176a9b49b8" /><Relationship Type="http://schemas.openxmlformats.org/officeDocument/2006/relationships/hyperlink" Target="https://meteor.aihw.gov.au/RegistrationAuthority/18" TargetMode="External" Id="Rec555261e8024edd" /><Relationship Type="http://schemas.openxmlformats.org/officeDocument/2006/relationships/hyperlink" Target="https://meteor.aihw.gov.au/content/719400" TargetMode="External" Id="R34b6c45be2114836" /><Relationship Type="http://schemas.openxmlformats.org/officeDocument/2006/relationships/hyperlink" Target="https://meteor.aihw.gov.au/RegistrationAuthority/18" TargetMode="External" Id="Rc7d3d88049774a2b" /><Relationship Type="http://schemas.openxmlformats.org/officeDocument/2006/relationships/hyperlink" Target="https://meteor.aihw.gov.au/content/719402" TargetMode="External" Id="Rcc23a55152ee4e2a" /><Relationship Type="http://schemas.openxmlformats.org/officeDocument/2006/relationships/hyperlink" Target="https://meteor.aihw.gov.au/RegistrationAuthority/18" TargetMode="External" Id="R09265342984f4168" /><Relationship Type="http://schemas.openxmlformats.org/officeDocument/2006/relationships/hyperlink" Target="https://meteor.aihw.gov.au/content/719404" TargetMode="External" Id="R961913e8d5fb4b7a" /><Relationship Type="http://schemas.openxmlformats.org/officeDocument/2006/relationships/hyperlink" Target="https://meteor.aihw.gov.au/RegistrationAuthority/18" TargetMode="External" Id="Rfae1454bd67946a4" /><Relationship Type="http://schemas.openxmlformats.org/officeDocument/2006/relationships/hyperlink" Target="https://meteor.aihw.gov.au/content/719406" TargetMode="External" Id="Rf358efe689624dcf" /><Relationship Type="http://schemas.openxmlformats.org/officeDocument/2006/relationships/hyperlink" Target="https://meteor.aihw.gov.au/RegistrationAuthority/18" TargetMode="External" Id="Rcdfe45c1568f458e" /><Relationship Type="http://schemas.openxmlformats.org/officeDocument/2006/relationships/hyperlink" Target="https://meteor.aihw.gov.au/content/719409" TargetMode="External" Id="R6aa64f6a4c41437d" /><Relationship Type="http://schemas.openxmlformats.org/officeDocument/2006/relationships/hyperlink" Target="https://meteor.aihw.gov.au/RegistrationAuthority/18" TargetMode="External" Id="R5159c7b62ec348a4" /><Relationship Type="http://schemas.openxmlformats.org/officeDocument/2006/relationships/hyperlink" Target="https://meteor.aihw.gov.au/content/719411" TargetMode="External" Id="Re7c620e73d8245d9" /><Relationship Type="http://schemas.openxmlformats.org/officeDocument/2006/relationships/hyperlink" Target="https://meteor.aihw.gov.au/RegistrationAuthority/18" TargetMode="External" Id="R9b6d65d06dd14056" /><Relationship Type="http://schemas.openxmlformats.org/officeDocument/2006/relationships/hyperlink" Target="https://meteor.aihw.gov.au/content/491016" TargetMode="External" Id="Rb6d9f262e16d4fe6" /></Relationships>
</file>

<file path=word/_rels/header1.xml.rels>&#65279;<?xml version="1.0" encoding="utf-8"?><Relationships xmlns="http://schemas.openxmlformats.org/package/2006/relationships"><Relationship Type="http://schemas.openxmlformats.org/officeDocument/2006/relationships/image" Target="/media/image.png" Id="R2ccd41f206494246" /></Relationships>
</file>