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bdcfa51454bba"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2b- Proportion of patients with a final diagnosis of ischaemic stroke who received endovascular thrombectomy,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2b- Proportion of patients with a final diagnosis of ischaemic stroke who received endovascular thrombectomy,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2b- Proportion of patients with a final diagnosis of ischaemic stroke who received endovascular thrombectomy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73c2ec28143ed">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patients with a final diagnosis of </w:t>
            </w:r>
            <w:hyperlink w:tooltip="An ischaemic stroke is a type of acute stroke that occurs when an artery supplying blood to the brain suddenly becomes blocked This is as opposed to a bleed from an artery, which is known as a haemorrhagic stroke (AIHW 2013)." w:history="true" r:id="R2875705428a54c52">
              <w:r>
                <w:rPr>
                  <w:rStyle w:val="Hyperlink"/>
                  <w:b/>
                </w:rPr>
                <w:t xml:space="preserve">ischaemic stroke</w:t>
              </w:r>
            </w:hyperlink>
            <w:r>
              <w:rPr>
                <w:rStyle w:val="row-content-rich-text"/>
              </w:rPr>
              <w:t xml:space="preserve"> who received endovascular thrombectomy.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8ae9daa39e4df1">
              <w:r>
                <w:rPr>
                  <w:rStyle w:val="Hyperlink"/>
                </w:rPr>
                <w:t xml:space="preserve">Clinical care standard indicators: acute stroke</w:t>
              </w:r>
            </w:hyperlink>
          </w:p>
          <w:p>
            <w:pPr>
              <w:spacing w:before="0" w:after="0"/>
            </w:pPr>
            <w:r>
              <w:rPr>
                <w:rStyle w:val="row-content"/>
                <w:color w:val="244061"/>
              </w:rPr>
              <w:t xml:space="preserve">       </w:t>
            </w:r>
            <w:hyperlink w:history="true" r:id="R0a1f219e8dce4415">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who received endovascular thrombectomy.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Eligibility for endovascular thrombectomy is defined as ischaemic stroke caused by a large vessel occlusion in the internal carotid artery, proximal cerebral artery (M1 segment), or with tandem occlusion of both the cervical carotid and intracranial arteries. Endovascular thrombectomy should be undertaken when the procedure can be commenced within six hours of stroke onset. (Goyal et al. 2016) or between 6-24 hours after they were last known to be well if clinical and CT perfusion or MRI features indicate the presence of salvageable brain tissue (Nogueira et al. 2017, Albers et al. 2018).</w:t>
            </w:r>
          </w:p>
          <w:p>
            <w:pPr/>
            <w:r>
              <w:rPr>
                <w:rStyle w:val="row-content-rich-text"/>
              </w:rPr>
              <w:t xml:space="preserve">This indicator only applies to hospitals able to provide endovascular thrombectomy.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d4e07237c5a0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1ada7fcd447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07237c5a04577" /><Relationship Type="http://schemas.openxmlformats.org/officeDocument/2006/relationships/header" Target="/word/header1.xml" Id="Rff98ee6c4787440d" /><Relationship Type="http://schemas.openxmlformats.org/officeDocument/2006/relationships/settings" Target="/word/settings.xml" Id="R25838d3ff67f4164" /><Relationship Type="http://schemas.openxmlformats.org/officeDocument/2006/relationships/styles" Target="/word/styles.xml" Id="Rf934d728731e4e75" /><Relationship Type="http://schemas.openxmlformats.org/officeDocument/2006/relationships/hyperlink" Target="https://meteor.aihw.gov.au/RegistrationAuthority/18" TargetMode="External" Id="R23f73c2ec28143ed" /><Relationship Type="http://schemas.openxmlformats.org/officeDocument/2006/relationships/hyperlink" Target="https://meteor.aihw.gov.au/content/721349" TargetMode="External" Id="R2875705428a54c52" /><Relationship Type="http://schemas.openxmlformats.org/officeDocument/2006/relationships/hyperlink" Target="https://meteor.aihw.gov.au/content/719072" TargetMode="External" Id="Ra78ae9daa39e4df1" /><Relationship Type="http://schemas.openxmlformats.org/officeDocument/2006/relationships/hyperlink" Target="https://meteor.aihw.gov.au/RegistrationAuthority/18" TargetMode="External" Id="R0a1f219e8dce4415" /></Relationships>
</file>

<file path=word/_rels/header1.xml.rels>&#65279;<?xml version="1.0" encoding="utf-8"?><Relationships xmlns="http://schemas.openxmlformats.org/package/2006/relationships"><Relationship Type="http://schemas.openxmlformats.org/officeDocument/2006/relationships/image" Target="/media/image.png" Id="R4651ada7fcd4475d" /></Relationships>
</file>