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11f75ef3a4394"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4b- Proportion of patients with a final diagnosis of acute stroke assessed for ongoing rehabilitation using a structured assessment tool prior to separation from acute care,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4b- Proportion of patients with a final diagnosis of acute stroke assessed for ongoing rehabilitation using a structured assessment tool prior to separation from acute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 Proportion of patients with a final diagnosis of acute stroke assessed for ongoing rehabilitation using a structured assessment tool prior to separation from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4409aee3f429b">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60e640c31f2f4067">
              <w:r>
                <w:rPr>
                  <w:rStyle w:val="Hyperlink"/>
                  <w:b/>
                </w:rPr>
                <w:t xml:space="preserve">acute stroke</w:t>
              </w:r>
            </w:hyperlink>
            <w:r>
              <w:rPr>
                <w:rStyle w:val="row-content-rich-text"/>
              </w:rPr>
              <w:t xml:space="preserve"> who are assesed for ongoing stroke rehabilitation using a structured assessment tool prior to seperation from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d113780d3648e0">
              <w:r>
                <w:rPr>
                  <w:rStyle w:val="Hyperlink"/>
                </w:rPr>
                <w:t xml:space="preserve">Clinical care standard indicators: acute stroke</w:t>
              </w:r>
            </w:hyperlink>
          </w:p>
          <w:p>
            <w:pPr>
              <w:spacing w:before="0" w:after="0"/>
            </w:pPr>
            <w:r>
              <w:rPr>
                <w:rStyle w:val="row-content"/>
                <w:color w:val="244061"/>
              </w:rPr>
              <w:t xml:space="preserve">       </w:t>
            </w:r>
            <w:hyperlink w:history="true" r:id="R12f45309d9b04254">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structured assessment tool  such as the Australian Stroke Coalition Rehabilitation Working Group. Assessment for Rehabilitation: Pathway and Decision-Making Tool should be used and the outcome of the assessment must be documented in the medical record.</w:t>
            </w:r>
          </w:p>
          <w:p>
            <w:pPr>
              <w:spacing w:after="160"/>
            </w:pPr>
            <w:r>
              <w:rPr>
                <w:rStyle w:val="row-content-rich-text"/>
              </w:rPr>
              <w:t xml:space="preserve">Both the numerator and the denominator include patients with a final diagnosis of acute stroke. The final diagnosis is made at the hospital where the patient is admitted for the acute phase of management of their stroke.</w:t>
            </w:r>
          </w:p>
          <w:p>
            <w:pPr/>
            <w:r>
              <w:rPr>
                <w:rStyle w:val="row-content-rich-text"/>
              </w:rPr>
              <w:t xml:space="preserve">Seperation from acute care is specified as either being transferred to another ward or discharge to the community or home including an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were assessed for rehabilitation using a structured assesment tool prior to discharge from the acute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Stroke Coalition Rehabilitation Working Group 2012. Assessment for Rehabilitation: Pathway and decision-making tool. Melbourne.</w:t>
            </w:r>
          </w:p>
        </w:tc>
      </w:tr>
    </w:tbl>
    <w:p>
      <w:r>
        <w:br/>
      </w:r>
    </w:p>
    <w:sectPr>
      <w:footerReference xmlns:r="http://schemas.openxmlformats.org/officeDocument/2006/relationships" w:type="default" r:id="Raa659feb7f3e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016dae037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59feb7f3e4924" /><Relationship Type="http://schemas.openxmlformats.org/officeDocument/2006/relationships/header" Target="/word/header1.xml" Id="R8de9a3dfab244d73" /><Relationship Type="http://schemas.openxmlformats.org/officeDocument/2006/relationships/settings" Target="/word/settings.xml" Id="Rb6100e22d4534176" /><Relationship Type="http://schemas.openxmlformats.org/officeDocument/2006/relationships/styles" Target="/word/styles.xml" Id="R83d904690de54842" /><Relationship Type="http://schemas.openxmlformats.org/officeDocument/2006/relationships/hyperlink" Target="https://meteor.aihw.gov.au/RegistrationAuthority/18" TargetMode="External" Id="Rdc44409aee3f429b" /><Relationship Type="http://schemas.openxmlformats.org/officeDocument/2006/relationships/hyperlink" Target="https://meteor.aihw.gov.au/content/721343" TargetMode="External" Id="R60e640c31f2f4067" /><Relationship Type="http://schemas.openxmlformats.org/officeDocument/2006/relationships/hyperlink" Target="https://meteor.aihw.gov.au/content/719072" TargetMode="External" Id="R99d113780d3648e0" /><Relationship Type="http://schemas.openxmlformats.org/officeDocument/2006/relationships/hyperlink" Target="https://meteor.aihw.gov.au/RegistrationAuthority/18" TargetMode="External" Id="R12f45309d9b04254" /></Relationships>
</file>

<file path=word/_rels/header1.xml.rels>&#65279;<?xml version="1.0" encoding="utf-8"?><Relationships xmlns="http://schemas.openxmlformats.org/package/2006/relationships"><Relationship Type="http://schemas.openxmlformats.org/officeDocument/2006/relationships/image" Target="/media/image.png" Id="Rd46016dae0374b6a" /></Relationships>
</file>