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4d7da69751947c9" /></Relationships>
</file>

<file path=word/document.xml><?xml version="1.0" encoding="utf-8"?>
<w:document xmlns:r="http://schemas.openxmlformats.org/officeDocument/2006/relationships" xmlns:w="http://schemas.openxmlformats.org/wordprocessingml/2006/main">
  <w:body>
    <w:p>
      <w:pPr>
        <w:pStyle w:val="Title"/>
      </w:pPr>
      <w:r>
        <w:t>National Indigenous Reform Agreement: PI 14b-Level of workforce participation (survey data),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Indigenous Reform Agreement: PI 14b-Level of workforce participation (survey data),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14b-Level of workforce participation (survey data),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718502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df20fab1294550">
              <w:r>
                <w:rPr>
                  <w:rStyle w:val="Hyperlink"/>
                  <w:color w:val="244061"/>
                </w:rPr>
                <w:t xml:space="preserve">Indigenous</w:t>
              </w:r>
            </w:hyperlink>
            <w:r>
              <w:rPr>
                <w:rStyle w:val="row-content"/>
                <w:color w:val="244061"/>
              </w:rPr>
              <w:t xml:space="preserve">, Standard 23/08/2019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three measures for this indicator:</w:t>
            </w:r>
          </w:p>
          <w:p>
            <w:pPr>
              <w:spacing w:after="160"/>
            </w:pPr>
            <w:r>
              <w:rPr>
                <w:rStyle w:val="row-content-rich-text"/>
              </w:rPr>
              <w:t xml:space="preserve">(a)   Employment to population ratio, by Indigenous status.</w:t>
            </w:r>
          </w:p>
          <w:p>
            <w:pPr>
              <w:spacing w:after="160"/>
            </w:pPr>
            <w:r>
              <w:rPr>
                <w:rStyle w:val="row-content-rich-text"/>
              </w:rPr>
              <w:t xml:space="preserve">(b)   Unemployment rate, by Indigenous status.</w:t>
            </w:r>
          </w:p>
          <w:p>
            <w:pPr/>
            <w:r>
              <w:rPr>
                <w:rStyle w:val="row-content-rich-text"/>
              </w:rPr>
              <w:t xml:space="preserve">(c)   Labour force participation rate,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Participation in employment has important consequences for living standards, social and emotional wellbeing and participation in the community. This is a key measure for the Closing the Gap target 'Halve the gap in employment outcomes between Indigenous and non-Indigenous Australians within a decade (by 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011dd7905ea4bd7">
              <w:r>
                <w:rPr>
                  <w:rStyle w:val="Hyperlink"/>
                </w:rPr>
                <w:t xml:space="preserve">National Indigenous Reform Agreement (2020)</w:t>
              </w:r>
            </w:hyperlink>
          </w:p>
          <w:p>
            <w:pPr>
              <w:spacing w:before="0" w:after="0"/>
            </w:pPr>
            <w:r>
              <w:rPr>
                <w:rStyle w:val="row-content"/>
                <w:color w:val="244061"/>
              </w:rPr>
              <w:t xml:space="preserve">       </w:t>
            </w:r>
            <w:hyperlink w:history="true" r:id="Redd17e65c7af424e">
              <w:r>
                <w:rPr>
                  <w:rStyle w:val="Hyperlink"/>
                  <w:color w:val="244061"/>
                </w:rPr>
                <w:t xml:space="preserve">Indigenous</w:t>
              </w:r>
            </w:hyperlink>
            <w:r>
              <w:rPr>
                <w:rStyle w:val="row-content"/>
                <w:color w:val="244061"/>
              </w:rPr>
              <w:t xml:space="preserve">, Standard 23/08/2019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1f85590787d44d5">
              <w:r>
                <w:rPr>
                  <w:rStyle w:val="Hyperlink"/>
                </w:rPr>
                <w:t xml:space="preserve">Indigenous people of working age participate effectively in all sectors and at all levels of the labour market</w:t>
              </w:r>
            </w:hyperlink>
          </w:p>
          <w:p>
            <w:pPr>
              <w:spacing w:before="0" w:after="0"/>
            </w:pPr>
            <w:r>
              <w:rPr>
                <w:rStyle w:val="row-content"/>
                <w:color w:val="244061"/>
              </w:rPr>
              <w:t xml:space="preserve">       </w:t>
            </w:r>
            <w:hyperlink w:history="true" r:id="Rfc60281e9ff44fc1">
              <w:r>
                <w:rPr>
                  <w:rStyle w:val="Hyperlink"/>
                  <w:color w:val="244061"/>
                </w:rPr>
                <w:t xml:space="preserve">Indigenous</w:t>
              </w:r>
            </w:hyperlink>
            <w:r>
              <w:rPr>
                <w:rStyle w:val="row-content"/>
                <w:color w:val="244061"/>
              </w:rPr>
              <w:t xml:space="preserve">, Standard 21/07/2010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quality statement:</w:t>
            </w:r>
          </w:p>
        </w:tc>
        <w:tc>
          <w:tcPr>
            <w:tcBorders>
              <w:top w:val="none" w:color="000000" w:sz="0"/>
              <w:left w:val="none" w:color="000000" w:sz="0"/>
              <w:bottom w:val="none" w:color="000000" w:sz="0"/>
              <w:right w:val="none" w:color="000000" w:sz="0"/>
            </w:tcBorders>
            <w:vAlign w:val="top"/>
          </w:tcPr>
          <w:p>
            <w:hyperlink w:history="true" r:id="Rdcdf9530556540d0">
              <w:r>
                <w:rPr>
                  <w:rStyle w:val="Hyperlink"/>
                </w:rPr>
                <w:t xml:space="preserve">National Indigenous Reform Agreement: PI 14b-Level of workforce participation (survey data), 2020; Quality Statement</w:t>
              </w:r>
            </w:hyperlink>
          </w:p>
          <w:p>
            <w:pPr>
              <w:spacing w:before="0" w:after="0"/>
            </w:pPr>
            <w:r>
              <w:rPr>
                <w:rStyle w:val="row-content"/>
                <w:color w:val="244061"/>
              </w:rPr>
              <w:t xml:space="preserve">       </w:t>
            </w:r>
            <w:hyperlink w:history="true" r:id="Re7d0cfd77d8540f3">
              <w:r>
                <w:rPr>
                  <w:rStyle w:val="Hyperlink"/>
                  <w:color w:val="244061"/>
                </w:rPr>
                <w:t xml:space="preserve">Indigenous</w:t>
              </w:r>
            </w:hyperlink>
            <w:r>
              <w:rPr>
                <w:rStyle w:val="row-content"/>
                <w:color w:val="244061"/>
              </w:rPr>
              <w:t xml:space="preserve">, Standard 06/02/2020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64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Presentation: Number and percentage (per 100 persons).</w:t>
            </w:r>
          </w:p>
          <w:p>
            <w:pPr>
              <w:spacing w:after="160"/>
            </w:pPr>
            <w:r>
              <w:rPr>
                <w:rStyle w:val="row-content-rich-text"/>
              </w:rPr>
              <w:t xml:space="preserve">Relative standard errors and 95% confidence intervals are calculated for proportions.</w:t>
            </w:r>
          </w:p>
          <w:p>
            <w:pPr/>
            <w:r>
              <w:rPr>
                <w:rStyle w:val="row-content-rich-text"/>
              </w:rPr>
              <w:t xml:space="preserve">Rate ratios and rate differences are calculated for comparisons between Indigenous and non-Indigenous Australians.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Rate: 100 x (Numerator ÷ Denominator).</w:t>
            </w:r>
          </w:p>
          <w:p>
            <w:pPr>
              <w:spacing w:after="160"/>
            </w:pPr>
            <w:r>
              <w:rPr>
                <w:rStyle w:val="row-content-rich-text"/>
              </w:rPr>
              <w:t xml:space="preserve">Rate ratio: Indigenous rate divided by non-Indigenous rate.</w:t>
            </w:r>
          </w:p>
          <w:p>
            <w:pPr/>
            <w:r>
              <w:rPr>
                <w:rStyle w:val="row-content-rich-text"/>
              </w:rPr>
              <w:t xml:space="preserve">Rate difference: Indigenous minus non-Indigenous 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Number of employed people aged 15–64.</w:t>
            </w:r>
          </w:p>
          <w:p>
            <w:pPr>
              <w:spacing w:after="160"/>
            </w:pPr>
            <w:r>
              <w:rPr>
                <w:rStyle w:val="row-content-rich-text"/>
              </w:rPr>
              <w:t xml:space="preserve">(b) Number of unemployed people aged 15–64.</w:t>
            </w:r>
          </w:p>
          <w:p>
            <w:pPr/>
            <w:r>
              <w:rPr>
                <w:rStyle w:val="row-content-rich-text"/>
              </w:rPr>
              <w:t xml:space="preserve">(c) Number of people aged 15–64 in the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881785492eb422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dc7ce1f9d8aa4f25">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Main non-Indigenous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a7e5d1fe36514bc0">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Person—labour force status</w:t>
            </w:r>
          </w:p>
          <w:p>
            <w:r>
              <w:rPr>
                <w:rStyle w:val="row-content"/>
              </w:rPr>
              <w:t xml:space="preserve"> </w:t>
            </w:r>
          </w:p>
          <w:p>
            <w:r>
              <w:rPr>
                <w:rStyle w:val="row-content"/>
                <w:b/>
              </w:rPr>
              <w:t xml:space="preserve">Data Source</w:t>
            </w:r>
          </w:p>
          <w:p>
            <w:hyperlink w:history="true" r:id="R2dc3937e599149e4">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numerator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For (a) and (c) Total population aged 15–64.</w:t>
            </w:r>
          </w:p>
          <w:p>
            <w:pPr/>
            <w:r>
              <w:rPr>
                <w:rStyle w:val="row-content-rich-text"/>
              </w:rPr>
              <w:t xml:space="preserve">For (b) Total number of people in the labour force aged 15–64.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c910d8a678a4688">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Main non-Indigenous denominator data source.</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d86c8dd0d278469f">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Main Indigenous denominator data source.</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Disaggregation: National and state/territory by remoteness area by Indigenous status.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2011)</w:t>
            </w:r>
          </w:p>
          <w:p>
            <w:r>
              <w:rPr>
                <w:rStyle w:val="row-content"/>
              </w:rPr>
              <w:t xml:space="preserve"> </w:t>
            </w:r>
          </w:p>
          <w:p>
            <w:r>
              <w:rPr>
                <w:rStyle w:val="row-content"/>
                <w:b/>
              </w:rPr>
              <w:t xml:space="preserve">Data Source</w:t>
            </w:r>
          </w:p>
          <w:p>
            <w:hyperlink w:history="true" r:id="R339727a8ce664530">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ef114bbb73ea4bfe">
              <w:r>
                <w:rPr>
                  <w:rStyle w:val="Hyperlink"/>
                </w:rPr>
                <w:t xml:space="preserve">ABS Survey of Education and Work (SEW)</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Based on 2018 SEW</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 statistical area level 1 (SA1) (ASGS 2016)</w:t>
            </w:r>
          </w:p>
          <w:p>
            <w:r>
              <w:rPr>
                <w:rStyle w:val="row-content"/>
              </w:rPr>
              <w:t xml:space="preserve"> </w:t>
            </w:r>
          </w:p>
          <w:p>
            <w:r>
              <w:rPr>
                <w:rStyle w:val="row-content"/>
                <w:b/>
              </w:rPr>
              <w:t xml:space="preserve">Data Source</w:t>
            </w:r>
          </w:p>
          <w:p>
            <w:hyperlink w:history="true" r:id="Rf7e50d5f87844733">
              <w:r>
                <w:rPr>
                  <w:rStyle w:val="Hyperlink"/>
                </w:rPr>
                <w:t xml:space="preserve">ABS 2018-19 National Aboriginal and Torres Strait Islander Health Survey (NATSIHS)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the 2020 National Indigenous Reform Agreement (NIRA) Report (2018–19 reporting cycle). Data are presented for:</w:t>
            </w:r>
          </w:p>
          <w:p>
            <w:pPr>
              <w:pStyle w:val="ListParagraph"/>
              <w:numPr>
                <w:ilvl w:val="0"/>
                <w:numId w:val="2"/>
              </w:numPr>
            </w:pPr>
            <w:r>
              <w:rPr>
                <w:rStyle w:val="row-content-rich-text"/>
              </w:rPr>
              <w:t xml:space="preserve">Indigenous: NATSIHS 2018-19; </w:t>
            </w:r>
          </w:p>
          <w:p>
            <w:pPr>
              <w:pStyle w:val="ListParagraph"/>
              <w:numPr>
                <w:ilvl w:val="0"/>
                <w:numId w:val="2"/>
              </w:numPr>
            </w:pPr>
            <w:r>
              <w:rPr>
                <w:rStyle w:val="row-content-rich-text"/>
              </w:rPr>
              <w:t xml:space="preserve">non-Indigenous: SEW 2018</w:t>
            </w:r>
          </w:p>
          <w:p>
            <w:pPr>
              <w:spacing w:after="160"/>
            </w:pPr>
            <w:r>
              <w:rPr>
                <w:rStyle w:val="row-content-rich-text"/>
              </w:rPr>
              <w:t xml:space="preserve"> </w:t>
            </w:r>
          </w:p>
          <w:p>
            <w:pPr>
              <w:spacing w:after="160"/>
            </w:pPr>
            <w:r>
              <w:rPr>
                <w:rStyle w:val="row-content-rich-text"/>
              </w:rPr>
              <w:t xml:space="preserve">The 2017 NIRA report (2015–16 reporting cycle) presented data for:</w:t>
            </w:r>
          </w:p>
          <w:p>
            <w:pPr>
              <w:pStyle w:val="ListParagraph"/>
              <w:numPr>
                <w:ilvl w:val="0"/>
                <w:numId w:val="3"/>
              </w:numPr>
            </w:pPr>
            <w:r>
              <w:rPr>
                <w:rStyle w:val="row-content-rich-text"/>
              </w:rPr>
              <w:t xml:space="preserve">Indigenous: NATSISS 2014–15.</w:t>
            </w:r>
          </w:p>
          <w:p>
            <w:pPr>
              <w:pStyle w:val="ListParagraph"/>
              <w:numPr>
                <w:ilvl w:val="0"/>
                <w:numId w:val="3"/>
              </w:numPr>
            </w:pPr>
            <w:r>
              <w:rPr>
                <w:rStyle w:val="row-content-rich-text"/>
              </w:rPr>
              <w:t xml:space="preserve">Non-Indigenous: SEW 2014.</w:t>
            </w:r>
          </w:p>
          <w:p>
            <w:pPr>
              <w:spacing w:after="160"/>
            </w:pPr>
            <w:r>
              <w:rPr>
                <w:rStyle w:val="row-content-rich-text"/>
              </w:rPr>
              <w:t xml:space="preserve">The baseline NIRA Report presented data from the 2008 NATSISS (Indigenous) and 2008 SEW (non-Indigenous) as the main data collection.</w:t>
            </w:r>
          </w:p>
          <w:p>
            <w:pPr>
              <w:spacing w:after="160"/>
            </w:pPr>
            <w:r>
              <w:rPr>
                <w:rStyle w:val="row-content-rich-text"/>
              </w:rPr>
              <w:t xml:space="preserve">The 2014 NIRA Report presented data from the NATSIHS component of the 2012–13 Australian Aboriginal and Torres Strait Islander Health Survey (AATSIHS) and the 2012 SEW.  </w:t>
            </w:r>
          </w:p>
          <w:p>
            <w:pPr>
              <w:spacing w:after="160"/>
            </w:pPr>
            <w:r>
              <w:rPr>
                <w:rStyle w:val="row-content-rich-text"/>
              </w:rPr>
              <w:t xml:space="preserve">Prior to 2010, the SEW did not include people living in very remote areas. From 2010 onwards, the SEW includes people living in very remote areas except discrete Indigenous communities.</w:t>
            </w:r>
          </w:p>
          <w:p>
            <w:pPr>
              <w:spacing w:after="160"/>
            </w:pPr>
            <w:r>
              <w:rPr>
                <w:rStyle w:val="row-content-rich-text"/>
              </w:rPr>
              <w:t xml:space="preserve">Prior to 2010, the SEW did not include the remoteness variable. Therefore, a non-Indigenous comparator for remoteness for the 2008 NATSISS is not reported.</w:t>
            </w:r>
          </w:p>
          <w:p>
            <w:pPr>
              <w:spacing w:after="160"/>
            </w:pPr>
            <w:r>
              <w:rPr>
                <w:rStyle w:val="row-content-rich-text"/>
              </w:rPr>
              <w:t xml:space="preserve">The size of the standard errors mean that SEW data may not be adequate for measuring change over time.</w:t>
            </w:r>
          </w:p>
          <w:p>
            <w:pPr>
              <w:spacing w:after="160"/>
            </w:pPr>
            <w:r>
              <w:rPr>
                <w:rStyle w:val="row-content-rich-text"/>
              </w:rPr>
              <w:t xml:space="preserve">Baseline year for the Council of Australian Governments' Closing the Gap target (Halve the gap in employment outcomes between Indigenous and non-Indigenous Australians within a decade) is 2008; baseline year for this indicator is 2008; target year is 2018.</w:t>
            </w:r>
          </w:p>
          <w:p>
            <w:pPr/>
            <w:r>
              <w:rPr>
                <w:rStyle w:val="row-content-rich-text"/>
              </w:rPr>
              <w:t xml:space="preserve">The term ‘Aboriginal and Torres Strait Islander people’ is preferred when referring to the separate Indigenous peoples of Australia. However, the term ‘Indigenous’ is used interchangeably with ‘Aboriginal and Torres Strait Islander’ in this indicator to assist readability.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91aa1e772b594d1a">
              <w:r>
                <w:rPr>
                  <w:rStyle w:val="Hyperlink"/>
                </w:rPr>
                <w:t xml:space="preserve">Socioeconomic Factors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2ac05555b90f4bdf">
              <w:r>
                <w:rPr>
                  <w:rStyle w:val="Hyperlink"/>
                </w:rPr>
                <w:t xml:space="preserve">ABS Survey of Education and Work (SEW)</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Australian Bureau of Statistics</w:t>
            </w:r>
          </w:p>
          <w:p>
            <w:r>
              <w:rPr>
                <w:rStyle w:val="row-content"/>
                <w:b/>
                <w:color w:val="000000"/>
              </w:rPr>
              <w:t xml:space="preserve">Data Source</w:t>
            </w:r>
          </w:p>
          <w:p>
            <w:hyperlink w:history="true" r:id="R04fd8740a2314222">
              <w:r>
                <w:rPr>
                  <w:rStyle w:val="Hyperlink"/>
                </w:rPr>
                <w:t xml:space="preserve">ABS 2018-19 National Aboriginal and Torres Strait Islander Health Survey (NATSIHS)</w:t>
              </w:r>
            </w:hyperlink>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4f3c07b72ffd4722">
              <w:r>
                <w:rPr>
                  <w:rStyle w:val="Hyperlink"/>
                </w:rPr>
                <w:t xml:space="preserve">National Indigenous Reform Agreement Performance Information Management Group</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b77069e205e4a24">
              <w:r>
                <w:rPr>
                  <w:rStyle w:val="Hyperlink"/>
                </w:rPr>
                <w:t xml:space="preserve">National Indigenous Reform Agreement: PI 14b-Level of workforce participation (survey data), 2019</w:t>
              </w:r>
            </w:hyperlink>
          </w:p>
          <w:p>
            <w:pPr>
              <w:spacing w:before="0" w:after="0"/>
            </w:pPr>
            <w:r>
              <w:rPr>
                <w:rStyle w:val="row-content"/>
                <w:color w:val="244061"/>
              </w:rPr>
              <w:t xml:space="preserve">       </w:t>
            </w:r>
            <w:hyperlink w:history="true" r:id="R4f1913a440b247d3">
              <w:r>
                <w:rPr>
                  <w:rStyle w:val="Hyperlink"/>
                  <w:color w:val="244061"/>
                </w:rPr>
                <w:t xml:space="preserve">Indigenous</w:t>
              </w:r>
            </w:hyperlink>
            <w:r>
              <w:rPr>
                <w:rStyle w:val="row-content"/>
                <w:color w:val="244061"/>
              </w:rPr>
              <w:t xml:space="preserve">, Superseded 23/08/2019</w:t>
            </w:r>
          </w:p>
          <w:p>
            <w:r>
              <w:br/>
            </w:r>
            <w:r>
              <w:rPr>
                <w:rStyle w:val="row-content"/>
              </w:rPr>
              <w:t xml:space="preserve">See also </w:t>
            </w:r>
            <w:hyperlink w:history="true" r:id="R81a1c450cd4942d9">
              <w:r>
                <w:rPr>
                  <w:rStyle w:val="Hyperlink"/>
                </w:rPr>
                <w:t xml:space="preserve">National Indigenous Reform Agreement: PI 14a-Level of workforce participation (Census data), 2020</w:t>
              </w:r>
            </w:hyperlink>
          </w:p>
          <w:p>
            <w:pPr>
              <w:spacing w:before="0" w:after="0"/>
            </w:pPr>
            <w:r>
              <w:rPr>
                <w:rStyle w:val="row-content"/>
                <w:color w:val="244061"/>
              </w:rPr>
              <w:t xml:space="preserve">       </w:t>
            </w:r>
            <w:hyperlink w:history="true" r:id="R87069a761e294840">
              <w:r>
                <w:rPr>
                  <w:rStyle w:val="Hyperlink"/>
                  <w:color w:val="244061"/>
                </w:rPr>
                <w:t xml:space="preserve">Indigenous</w:t>
              </w:r>
            </w:hyperlink>
            <w:r>
              <w:rPr>
                <w:rStyle w:val="row-content"/>
                <w:color w:val="244061"/>
              </w:rPr>
              <w:t xml:space="preserve">, Standard 23/08/2019</w:t>
            </w:r>
          </w:p>
          <w:p>
            <w:r>
              <w:br/>
            </w:r>
          </w:p>
        </w:tc>
      </w:tr>
    </w:tbl>
    <w:p>
      <w:r>
        <w:br/>
      </w:r>
    </w:p>
    <w:sectPr>
      <w:footerReference xmlns:r="http://schemas.openxmlformats.org/officeDocument/2006/relationships" w:type="default" r:id="R621639eb35814c7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718502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08b88f4a74e49d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21639eb35814c79" /><Relationship Type="http://schemas.openxmlformats.org/officeDocument/2006/relationships/header" Target="/word/header1.xml" Id="Rcb09c885e2e34dc1" /><Relationship Type="http://schemas.openxmlformats.org/officeDocument/2006/relationships/settings" Target="/word/settings.xml" Id="R251c4f347bff4291" /><Relationship Type="http://schemas.openxmlformats.org/officeDocument/2006/relationships/styles" Target="/word/styles.xml" Id="R04cfb4f4fddf4278" /><Relationship Type="http://schemas.openxmlformats.org/officeDocument/2006/relationships/hyperlink" Target="https://meteor.aihw.gov.au/RegistrationAuthority/6" TargetMode="External" Id="R7edf20fab1294550" /><Relationship Type="http://schemas.openxmlformats.org/officeDocument/2006/relationships/hyperlink" Target="https://meteor.aihw.gov.au/content/718468" TargetMode="External" Id="Rc011dd7905ea4bd7" /><Relationship Type="http://schemas.openxmlformats.org/officeDocument/2006/relationships/hyperlink" Target="https://meteor.aihw.gov.au/RegistrationAuthority/6" TargetMode="External" Id="Redd17e65c7af424e" /><Relationship Type="http://schemas.openxmlformats.org/officeDocument/2006/relationships/hyperlink" Target="https://meteor.aihw.gov.au/content/396179" TargetMode="External" Id="R51f85590787d44d5" /><Relationship Type="http://schemas.openxmlformats.org/officeDocument/2006/relationships/hyperlink" Target="https://meteor.aihw.gov.au/RegistrationAuthority/6" TargetMode="External" Id="Rfc60281e9ff44fc1" /><Relationship Type="http://schemas.openxmlformats.org/officeDocument/2006/relationships/hyperlink" Target="https://meteor.aihw.gov.au/content/726276" TargetMode="External" Id="Rdcdf9530556540d0" /><Relationship Type="http://schemas.openxmlformats.org/officeDocument/2006/relationships/hyperlink" Target="https://meteor.aihw.gov.au/RegistrationAuthority/6" TargetMode="External" Id="Re7d0cfd77d8540f3" /><Relationship Type="http://schemas.openxmlformats.org/officeDocument/2006/relationships/hyperlink" Target="https://meteor.aihw.gov.au/content/396601" TargetMode="External" Id="R9881785492eb4228" /><Relationship Type="http://schemas.openxmlformats.org/officeDocument/2006/relationships/hyperlink" Target="https://meteor.aihw.gov.au/content/396601" TargetMode="External" Id="Rdc7ce1f9d8aa4f25" /><Relationship Type="http://schemas.openxmlformats.org/officeDocument/2006/relationships/hyperlink" Target="https://meteor.aihw.gov.au/content/719848" TargetMode="External" Id="Ra7e5d1fe36514bc0" /><Relationship Type="http://schemas.openxmlformats.org/officeDocument/2006/relationships/hyperlink" Target="https://meteor.aihw.gov.au/content/719848" TargetMode="External" Id="R2dc3937e599149e4" /><Relationship Type="http://schemas.openxmlformats.org/officeDocument/2006/relationships/hyperlink" Target="https://meteor.aihw.gov.au/content/396601" TargetMode="External" Id="R9c910d8a678a4688" /><Relationship Type="http://schemas.openxmlformats.org/officeDocument/2006/relationships/hyperlink" Target="https://meteor.aihw.gov.au/content/719848" TargetMode="External" Id="Rd86c8dd0d278469f" /><Relationship Type="http://schemas.openxmlformats.org/officeDocument/2006/relationships/hyperlink" Target="https://meteor.aihw.gov.au/content/396601" TargetMode="External" Id="R339727a8ce664530" /><Relationship Type="http://schemas.openxmlformats.org/officeDocument/2006/relationships/hyperlink" Target="https://meteor.aihw.gov.au/content/396601" TargetMode="External" Id="Ref114bbb73ea4bfe" /><Relationship Type="http://schemas.openxmlformats.org/officeDocument/2006/relationships/hyperlink" Target="https://meteor.aihw.gov.au/content/719848" TargetMode="External" Id="Rf7e50d5f87844733" /><Relationship Type="http://schemas.openxmlformats.org/officeDocument/2006/relationships/numbering" Target="/word/numbering.xml" Id="R9251612cecc94c36" /><Relationship Type="http://schemas.openxmlformats.org/officeDocument/2006/relationships/hyperlink" Target="https://meteor.aihw.gov.au/content/410674" TargetMode="External" Id="R91aa1e772b594d1a" /><Relationship Type="http://schemas.openxmlformats.org/officeDocument/2006/relationships/hyperlink" Target="https://meteor.aihw.gov.au/content/396601" TargetMode="External" Id="R2ac05555b90f4bdf" /><Relationship Type="http://schemas.openxmlformats.org/officeDocument/2006/relationships/hyperlink" Target="https://meteor.aihw.gov.au/content/719848" TargetMode="External" Id="R04fd8740a2314222" /><Relationship Type="http://schemas.openxmlformats.org/officeDocument/2006/relationships/hyperlink" Target="https://meteor.aihw.gov.au/content/410271" TargetMode="External" Id="R4f3c07b72ffd4722" /><Relationship Type="http://schemas.openxmlformats.org/officeDocument/2006/relationships/hyperlink" Target="https://meteor.aihw.gov.au/content/699473" TargetMode="External" Id="Rab77069e205e4a24" /><Relationship Type="http://schemas.openxmlformats.org/officeDocument/2006/relationships/hyperlink" Target="https://meteor.aihw.gov.au/RegistrationAuthority/6" TargetMode="External" Id="R4f1913a440b247d3" /><Relationship Type="http://schemas.openxmlformats.org/officeDocument/2006/relationships/hyperlink" Target="https://meteor.aihw.gov.au/content/718500" TargetMode="External" Id="R81a1c450cd4942d9" /><Relationship Type="http://schemas.openxmlformats.org/officeDocument/2006/relationships/hyperlink" Target="https://meteor.aihw.gov.au/RegistrationAuthority/6" TargetMode="External" Id="R87069a761e294840" /></Relationships>
</file>

<file path=word/_rels/header1.xml.rels>&#65279;<?xml version="1.0" encoding="utf-8"?><Relationships xmlns="http://schemas.openxmlformats.org/package/2006/relationships"><Relationship Type="http://schemas.openxmlformats.org/officeDocument/2006/relationships/image" Target="/media/image.png" Id="Rd08b88f4a74e49d0" /></Relationships>
</file>