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6e8d32b6b64c61"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Groups–Activities of Daily Living total score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Groups–Activities of Daily Living total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(total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d3cda2b8bc49dd">
              <w:r>
                <w:rPr>
                  <w:rStyle w:val="Hyperlink"/>
                  <w:color w:val="244061"/>
                </w:rPr>
                <w:t xml:space="preserve">Health</w:t>
              </w:r>
            </w:hyperlink>
            <w:r>
              <w:rPr>
                <w:rStyle w:val="row-content"/>
                <w:color w:val="244061"/>
              </w:rPr>
              <w:t xml:space="preserve">, Superseded 20/12/2022</w:t>
            </w:r>
          </w:p>
          <w:p>
            <w:pPr>
              <w:spacing w:before="0" w:after="0"/>
            </w:pPr>
            <w:hyperlink w:history="true" r:id="Re8c7a74f3f374f2b">
              <w:r>
                <w:rPr>
                  <w:rStyle w:val="Hyperlink"/>
                  <w:color w:val="244061"/>
                </w:rPr>
                <w:t xml:space="preserve">Tasmanian Health</w:t>
              </w:r>
            </w:hyperlink>
            <w:r>
              <w:rPr>
                <w:rStyle w:val="row-content"/>
                <w:color w:val="244061"/>
              </w:rPr>
              <w:t xml:space="preserve">, Superseded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total Resource Utilisation Groups-Activities of Daily Living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b61c17a0904be9">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e1b8d808b448ba">
              <w:r>
                <w:rPr>
                  <w:rStyle w:val="Hyperlink"/>
                </w:rPr>
                <w:t xml:space="preserve">Resource Utilisation Groups–Activities of Daily Living total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Score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ssessment of patient motor function." w:history="true" r:id="R7a39ad5ad0444594">
              <w:r>
                <w:rPr>
                  <w:rStyle w:val="Hyperlink"/>
                  <w:b/>
                </w:rPr>
                <w:t xml:space="preserve">Resource Utilisation Groups - Activities of Daily Living</w:t>
              </w:r>
            </w:hyperlink>
            <w:r>
              <w:rPr>
                <w:rStyle w:val="row-content-rich-text"/>
              </w:rPr>
              <w:t xml:space="preserve"> (RUG-ADL) is a four item scale measuring a person's motor function for activities of daily living including:</w:t>
            </w:r>
            <w:r>
              <w:br/>
            </w:r>
            <w:r>
              <w:rPr>
                <w:rStyle w:val="row-content-rich-text"/>
              </w:rPr>
              <w:t xml:space="preserve">• bed mobility</w:t>
            </w:r>
            <w:r>
              <w:br/>
            </w:r>
            <w:r>
              <w:rPr>
                <w:rStyle w:val="row-content-rich-text"/>
              </w:rPr>
              <w:t xml:space="preserve">• toileting</w:t>
            </w:r>
            <w:r>
              <w:br/>
            </w:r>
            <w:r>
              <w:rPr>
                <w:rStyle w:val="row-content-rich-text"/>
              </w:rPr>
              <w:t xml:space="preserve">• transfers</w:t>
            </w:r>
            <w:r>
              <w:br/>
            </w:r>
            <w:r>
              <w:rPr>
                <w:rStyle w:val="row-content-rich-text"/>
              </w:rPr>
              <w:t xml:space="preserve">• eating.</w:t>
            </w:r>
          </w:p>
          <w:p>
            <w:pPr>
              <w:spacing w:after="160"/>
            </w:pPr>
            <w:r>
              <w:rPr>
                <w:rStyle w:val="row-content-rich-text"/>
              </w:rPr>
              <w:t xml:space="preserve">Valid values for the </w:t>
            </w:r>
            <w:r>
              <w:rPr>
                <w:rStyle w:val="row-content-rich-text"/>
                <w:b/>
              </w:rPr>
              <w:t xml:space="preserve">bed mobility</w:t>
            </w:r>
            <w:r>
              <w:rPr>
                <w:rStyle w:val="row-content-rich-text"/>
              </w:rPr>
              <w:t xml:space="preserve">, </w:t>
            </w:r>
            <w:r>
              <w:rPr>
                <w:rStyle w:val="row-content-rich-text"/>
                <w:b/>
              </w:rPr>
              <w:t xml:space="preserve">toileting </w:t>
            </w:r>
            <w:r>
              <w:rPr>
                <w:rStyle w:val="row-content-rich-text"/>
              </w:rPr>
              <w:t xml:space="preserve">and </w:t>
            </w:r>
            <w:r>
              <w:rPr>
                <w:rStyle w:val="row-content-rich-text"/>
                <w:b/>
              </w:rPr>
              <w:t xml:space="preserve">transfers </w:t>
            </w:r>
            <w:r>
              <w:rPr>
                <w:rStyle w:val="row-content-rich-text"/>
              </w:rPr>
              <w:t xml:space="preserve">item scales:</w:t>
            </w:r>
            <w:r>
              <w:br/>
            </w:r>
            <w:r>
              <w:rPr>
                <w:rStyle w:val="row-content-rich-text"/>
              </w:rPr>
              <w:t xml:space="preserve">1 - Independent or supervision only</w:t>
            </w:r>
            <w:r>
              <w:br/>
            </w:r>
            <w:r>
              <w:rPr>
                <w:rStyle w:val="row-content-rich-text"/>
              </w:rPr>
              <w:t xml:space="preserve">3 - Limited physical assistance</w:t>
            </w:r>
            <w:r>
              <w:br/>
            </w:r>
            <w:r>
              <w:rPr>
                <w:rStyle w:val="row-content-rich-text"/>
              </w:rPr>
              <w:t xml:space="preserve">4 - Other than two persons physical assist</w:t>
            </w:r>
            <w:r>
              <w:br/>
            </w:r>
            <w:r>
              <w:rPr>
                <w:rStyle w:val="row-content-rich-text"/>
              </w:rPr>
              <w:t xml:space="preserve">5 - Two or more person physical assist</w:t>
            </w:r>
            <w:r>
              <w:br/>
            </w:r>
            <w:r>
              <w:rPr>
                <w:rStyle w:val="row-content-rich-text"/>
                <w:i/>
              </w:rPr>
              <w:t xml:space="preserve">  Note: a score of 2 is not valid.</w:t>
            </w:r>
          </w:p>
          <w:p>
            <w:pPr>
              <w:spacing w:after="160"/>
            </w:pPr>
            <w:r>
              <w:rPr>
                <w:rStyle w:val="row-content-rich-text"/>
              </w:rPr>
              <w:t xml:space="preserve">Valid values for the </w:t>
            </w:r>
            <w:r>
              <w:rPr>
                <w:rStyle w:val="row-content-rich-text"/>
                <w:b/>
              </w:rPr>
              <w:t xml:space="preserve">eating </w:t>
            </w:r>
            <w:r>
              <w:rPr>
                <w:rStyle w:val="row-content-rich-text"/>
              </w:rPr>
              <w:t xml:space="preserve">item scale:</w:t>
            </w:r>
            <w:r>
              <w:br/>
            </w:r>
            <w:r>
              <w:rPr>
                <w:rStyle w:val="row-content-rich-text"/>
              </w:rPr>
              <w:t xml:space="preserve">1 - Independent or supervision only</w:t>
            </w:r>
            <w:r>
              <w:br/>
            </w:r>
            <w:r>
              <w:rPr>
                <w:rStyle w:val="row-content-rich-text"/>
              </w:rPr>
              <w:t xml:space="preserve">2 - Limited assistance</w:t>
            </w:r>
            <w:r>
              <w:br/>
            </w:r>
            <w:r>
              <w:rPr>
                <w:rStyle w:val="row-content-rich-text"/>
              </w:rPr>
              <w:t xml:space="preserve">3 - Extensive assistance/total dependence/tube fed</w:t>
            </w:r>
            <w:r>
              <w:br/>
            </w:r>
            <w:r>
              <w:rPr>
                <w:rStyle w:val="row-content-rich-text"/>
                <w:i/>
              </w:rPr>
              <w:t xml:space="preserve">  Note: a score of 4 or 5 is not valid.</w:t>
            </w:r>
          </w:p>
          <w:p>
            <w:pPr>
              <w:spacing w:after="160"/>
            </w:pPr>
            <w:r>
              <w:rPr>
                <w:rStyle w:val="row-content-rich-text"/>
              </w:rPr>
              <w:t xml:space="preserve">Scores are summed for the four Activities of Daily Living (ADL) variables (i.e. bed mobility, toileting, transfers and eating) to reach a total RUG-ADL score. A total RUG-ADL score ranges from a minimum score of 4 to a maximum score of 18.</w:t>
            </w:r>
          </w:p>
          <w:p>
            <w:pPr>
              <w:spacing w:after="160"/>
            </w:pPr>
            <w:r>
              <w:rPr>
                <w:rStyle w:val="row-content-rich-text"/>
              </w:rPr>
              <w:t xml:space="preserve">The RUG-ADL </w:t>
            </w:r>
            <w:r>
              <w:rPr>
                <w:rStyle w:val="row-content-rich-text"/>
                <w:i/>
              </w:rPr>
              <w:t xml:space="preserve">total </w:t>
            </w:r>
            <w:r>
              <w:rPr>
                <w:rStyle w:val="row-content-rich-text"/>
              </w:rPr>
              <w:t xml:space="preserve">score code is different from the </w:t>
            </w:r>
            <w:hyperlink w:history="true" r:id="R48d1342183da422d">
              <w:r>
                <w:rPr>
                  <w:rStyle w:val="Hyperlink"/>
                </w:rPr>
                <w:t xml:space="preserve">Resource Utilisation Groups–Activities of Daily Living score code N</w:t>
              </w:r>
            </w:hyperlink>
            <w:r>
              <w:rPr>
                <w:rStyle w:val="row-content-rich-text"/>
              </w:rPr>
              <w:t xml:space="preserve"> as it represents the total of all the individual RUG-ADL item scores added together.</w:t>
            </w:r>
          </w:p>
          <w:p>
            <w:pPr>
              <w:spacing w:after="160"/>
            </w:pPr>
            <w:r>
              <w:rPr>
                <w:rStyle w:val="row-content-rich-text"/>
              </w:rPr>
              <w:t xml:space="preserve"> </w:t>
            </w:r>
          </w:p>
          <w:p>
            <w:pPr>
              <w:spacing w:after="160"/>
            </w:pPr>
            <w:r>
              <w:rPr>
                <w:rStyle w:val="row-content-rich-text"/>
              </w:rPr>
              <w:t xml:space="preserve">CODE 99 Not stated/inadequately described</w:t>
            </w:r>
          </w:p>
          <w:p>
            <w:pPr>
              <w:spacing w:after="160"/>
            </w:pPr>
            <w:r>
              <w:rPr>
                <w:rStyle w:val="row-content-rich-text"/>
              </w:rPr>
              <w:t xml:space="preserve">This code should be used in circumstances where the RUG-ADL total score code can not be reported due to one or more item scales not being collected. This code is not to be used on RUG-ADL data collection forms.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RUG-ADL score differs from the individual RUG-ADL score as it is the total of all the individual RUG-ADL item scores added together.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et al. 1994. Refining a case-mix measure for nursing homes: Resource Utilization Groups (RUG-III). Medical Care 32: 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e73a4c1af84a69">
              <w:r>
                <w:rPr>
                  <w:rStyle w:val="Hyperlink"/>
                </w:rPr>
                <w:t xml:space="preserve">Person—level of functional independence, Resource Utilisation Groups– Activities of Daily Living total score code N[N]</w:t>
              </w:r>
            </w:hyperlink>
          </w:p>
          <w:p>
            <w:pPr>
              <w:spacing w:before="0" w:after="0"/>
            </w:pPr>
            <w:r>
              <w:rPr>
                <w:rStyle w:val="row-content"/>
                <w:color w:val="244061"/>
              </w:rPr>
              <w:t xml:space="preserve">       </w:t>
            </w:r>
            <w:hyperlink w:history="true" r:id="R6c289c1cb1924848">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9c5be718801241d3">
              <w:r>
                <w:rPr>
                  <w:rStyle w:val="Hyperlink"/>
                </w:rPr>
                <w:t xml:space="preserve">Person—level of functional independence, Resource Utilisation Groups–Activities of Daily Living total score code N[N]</w:t>
              </w:r>
            </w:hyperlink>
          </w:p>
          <w:p>
            <w:pPr>
              <w:spacing w:before="0" w:after="0"/>
            </w:pPr>
            <w:r>
              <w:rPr>
                <w:rStyle w:val="row-content"/>
                <w:color w:val="244061"/>
              </w:rPr>
              <w:t xml:space="preserve">       </w:t>
            </w:r>
            <w:hyperlink w:history="true" r:id="R6341173130784e0b">
              <w:r>
                <w:rPr>
                  <w:rStyle w:val="Hyperlink"/>
                  <w:color w:val="244061"/>
                </w:rPr>
                <w:t xml:space="preserve">Health</w:t>
              </w:r>
            </w:hyperlink>
            <w:r>
              <w:rPr>
                <w:rStyle w:val="row-content"/>
                <w:color w:val="244061"/>
              </w:rPr>
              <w:t xml:space="preserve">, Standard 20/12/2022</w:t>
            </w:r>
          </w:p>
          <w:p>
            <w:pPr>
              <w:spacing w:before="0" w:after="0"/>
            </w:pPr>
            <w:r>
              <w:rPr>
                <w:rStyle w:val="row-content"/>
                <w:color w:val="244061"/>
              </w:rPr>
              <w:t xml:space="preserve">       </w:t>
            </w:r>
            <w:hyperlink w:history="true" r:id="R92b0f6c2e7dc4d3a">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3db0761a48ec49be">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ad53aaac13f24136">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8b6fec0e171444eb">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6151f29ba6294939">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bdba3ff676094fca">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c3799fbbd8f843a6">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3f73cf20164c30">
              <w:r>
                <w:rPr>
                  <w:rStyle w:val="Hyperlink"/>
                </w:rPr>
                <w:t xml:space="preserve">Admitted subacute and non-acute hospital care NBEDS 2020–21</w:t>
              </w:r>
            </w:hyperlink>
          </w:p>
          <w:p>
            <w:pPr>
              <w:spacing w:before="0" w:after="0"/>
            </w:pPr>
            <w:r>
              <w:rPr>
                <w:rStyle w:val="row-content"/>
                <w:color w:val="244061"/>
              </w:rPr>
              <w:t xml:space="preserve">       </w:t>
            </w:r>
            <w:hyperlink w:history="true" r:id="Rd98512b1ec3244c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c40b1d18e28842ef">
              <w:r>
                <w:rPr>
                  <w:rStyle w:val="Hyperlink"/>
                </w:rPr>
                <w:t xml:space="preserve">Hospital service—care type, code N[N]</w:t>
              </w:r>
            </w:hyperlink>
            <w:r>
              <w:rPr>
                <w:rStyle w:val="row-content"/>
              </w:rPr>
              <w:t xml:space="preserve"> recorded as:</w:t>
            </w:r>
          </w:p>
          <w:p>
            <w:pPr>
              <w:pStyle w:val="ListParagraph"/>
              <w:numPr>
                <w:ilvl w:val="0"/>
                <w:numId w:val="2"/>
              </w:numPr>
            </w:pPr>
            <w:r>
              <w:rPr>
                <w:rStyle w:val="row-content"/>
              </w:rPr>
              <w:t xml:space="preserve">Code 3, Palliative care; or</w:t>
            </w:r>
          </w:p>
          <w:p>
            <w:pPr>
              <w:pStyle w:val="ListParagraph"/>
              <w:numPr>
                <w:ilvl w:val="0"/>
                <w:numId w:val="2"/>
              </w:numPr>
            </w:pPr>
            <w:r>
              <w:rPr>
                <w:rStyle w:val="row-content"/>
              </w:rPr>
              <w:t xml:space="preserve">Code 6, Maintenance care.</w:t>
            </w:r>
          </w:p>
          <w:p>
            <w:r>
              <w:br/>
            </w:r>
            <w:r>
              <w:rPr>
                <w:rStyle w:val="row-content"/>
                <w:b/>
                <w:i/>
              </w:rPr>
              <w:t xml:space="preserve">DSS specific information: </w:t>
            </w:r>
          </w:p>
          <w:p>
            <w:r>
              <w:rPr>
                <w:rStyle w:val="row-content"/>
              </w:rPr>
              <w:t xml:space="preserve">Only the </w:t>
            </w:r>
            <w:hyperlink w:tooltip="An assessment of patient motor function." w:history="true" r:id="R06b34ebf184f4a03">
              <w:r>
                <w:rPr>
                  <w:rStyle w:val="Hyperlink"/>
                  <w:b/>
                </w:rPr>
                <w:t xml:space="preserve">Resource Utilisation Groups—Activities of Daily Living </w:t>
              </w:r>
            </w:hyperlink>
            <w:r>
              <w:rPr>
                <w:rStyle w:val="row-content"/>
              </w:rPr>
              <w:t xml:space="preserve">(RUG-ADL)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Not required to be reported for patients aged 17 and under at admission.</w:t>
            </w:r>
          </w:p>
          <w:p>
            <w:r>
              <w:rPr>
                <w:rStyle w:val="row-content"/>
              </w:rPr>
              <w:t xml:space="preserve">For episodes of admitted patient care with </w:t>
            </w:r>
            <w:hyperlink w:history="true" r:id="Rdbe5a9c64f704c5b">
              <w:r>
                <w:rPr>
                  <w:rStyle w:val="Hyperlink"/>
                </w:rPr>
                <w:t xml:space="preserve">Hospital service—care type, code N[N]</w:t>
              </w:r>
            </w:hyperlink>
            <w:r>
              <w:rPr>
                <w:rStyle w:val="row-content"/>
              </w:rP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e4a3d0c237e04bde">
              <w:r>
                <w:rPr>
                  <w:rStyle w:val="Hyperlink"/>
                  <w:b/>
                </w:rPr>
                <w:t xml:space="preserve">palliative care phase</w:t>
              </w:r>
            </w:hyperlink>
            <w:r>
              <w:rPr>
                <w:rStyle w:val="row-content"/>
              </w:rPr>
              <w:t xml:space="preserve"> if the episode of admitted patient care had more than one phase.</w:t>
            </w:r>
          </w:p>
          <w:p>
            <w:r>
              <w:br/>
            </w:r>
            <w:r>
              <w:br/>
            </w:r>
            <w:hyperlink w:history="true" r:id="Rc8d2ef8d23c64e81">
              <w:r>
                <w:rPr>
                  <w:rStyle w:val="Hyperlink"/>
                </w:rPr>
                <w:t xml:space="preserve">Admitted subacute and non-acute hospital care NBEDS 2021–22</w:t>
              </w:r>
            </w:hyperlink>
          </w:p>
          <w:p>
            <w:pPr>
              <w:spacing w:before="0" w:after="0"/>
            </w:pPr>
            <w:r>
              <w:rPr>
                <w:rStyle w:val="row-content"/>
                <w:color w:val="244061"/>
              </w:rPr>
              <w:t xml:space="preserve">       </w:t>
            </w:r>
            <w:hyperlink w:history="true" r:id="R7976129ec4e14cce">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f000a93814cd4f27">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3, Palliative care; or</w:t>
            </w:r>
          </w:p>
          <w:p>
            <w:pPr>
              <w:pStyle w:val="ListParagraph"/>
              <w:numPr>
                <w:ilvl w:val="0"/>
                <w:numId w:val="3"/>
              </w:numPr>
            </w:pPr>
            <w:r>
              <w:rPr>
                <w:rStyle w:val="row-content"/>
              </w:rPr>
              <w:t xml:space="preserve">Code 6, Maintenance care.</w:t>
            </w:r>
          </w:p>
          <w:p>
            <w:r>
              <w:br/>
            </w:r>
            <w:r>
              <w:rPr>
                <w:rStyle w:val="row-content"/>
                <w:b/>
                <w:i/>
              </w:rPr>
              <w:t xml:space="preserve">DSS specific information: </w:t>
            </w:r>
          </w:p>
          <w:p>
            <w:r>
              <w:rPr>
                <w:rStyle w:val="row-content"/>
              </w:rPr>
              <w:t xml:space="preserve">Only the </w:t>
            </w:r>
            <w:hyperlink w:tooltip="An assessment of patient motor function." w:history="true" r:id="R4717d0b172eb4d61">
              <w:r>
                <w:rPr>
                  <w:rStyle w:val="Hyperlink"/>
                  <w:b/>
                </w:rPr>
                <w:t xml:space="preserve">Resource Utilisation Groups—Activities of Daily Living </w:t>
              </w:r>
            </w:hyperlink>
            <w:r>
              <w:rPr>
                <w:rStyle w:val="row-content"/>
              </w:rPr>
              <w:t xml:space="preserve">(RUG-ADL)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Not required to be reported for patients aged 17 and under at admission.</w:t>
            </w:r>
          </w:p>
          <w:p>
            <w:r>
              <w:rPr>
                <w:rStyle w:val="row-content"/>
              </w:rPr>
              <w:t xml:space="preserve">For episodes of admitted patient care with </w:t>
            </w:r>
            <w:hyperlink w:history="true" r:id="R92e82de5021e4baf">
              <w:r>
                <w:rPr>
                  <w:rStyle w:val="Hyperlink"/>
                </w:rPr>
                <w:t xml:space="preserve">Hospital service—care type, code N[N]</w:t>
              </w:r>
            </w:hyperlink>
            <w:r>
              <w:rPr>
                <w:rStyle w:val="row-content"/>
              </w:rP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e7025a2cc6f54268">
              <w:r>
                <w:rPr>
                  <w:rStyle w:val="Hyperlink"/>
                  <w:b/>
                </w:rPr>
                <w:t xml:space="preserve">palliative care phase</w:t>
              </w:r>
            </w:hyperlink>
            <w:r>
              <w:rPr>
                <w:rStyle w:val="row-content"/>
              </w:rPr>
              <w:t xml:space="preserve"> if the episode of admitted patient care had more than one phase.</w:t>
            </w:r>
          </w:p>
          <w:p>
            <w:r>
              <w:br/>
            </w:r>
            <w:r>
              <w:br/>
            </w:r>
            <w:hyperlink w:history="true" r:id="R1380a53ff9c04036">
              <w:r>
                <w:rPr>
                  <w:rStyle w:val="Hyperlink"/>
                </w:rPr>
                <w:t xml:space="preserve">Admitted subacute and non-acute hospital care NBEDS 2022–23</w:t>
              </w:r>
            </w:hyperlink>
          </w:p>
          <w:p>
            <w:pPr>
              <w:spacing w:before="0" w:after="0"/>
            </w:pPr>
            <w:r>
              <w:rPr>
                <w:rStyle w:val="row-content"/>
                <w:color w:val="244061"/>
              </w:rPr>
              <w:t xml:space="preserve">       </w:t>
            </w:r>
            <w:hyperlink w:history="true" r:id="R0d1174f544f04ac9">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6c6d780bd23b4514">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3, Palliative care; or</w:t>
            </w:r>
          </w:p>
          <w:p>
            <w:pPr>
              <w:pStyle w:val="ListParagraph"/>
              <w:numPr>
                <w:ilvl w:val="0"/>
                <w:numId w:val="4"/>
              </w:numPr>
            </w:pPr>
            <w:r>
              <w:rPr>
                <w:rStyle w:val="row-content"/>
              </w:rPr>
              <w:t xml:space="preserve">Code 6, Maintenance care.</w:t>
            </w:r>
          </w:p>
          <w:p>
            <w:r>
              <w:br/>
            </w:r>
            <w:r>
              <w:rPr>
                <w:rStyle w:val="row-content"/>
                <w:b/>
                <w:i/>
              </w:rPr>
              <w:t xml:space="preserve">DSS specific information: </w:t>
            </w:r>
          </w:p>
          <w:p>
            <w:r>
              <w:rPr>
                <w:rStyle w:val="row-content"/>
              </w:rPr>
              <w:t xml:space="preserve">Only the </w:t>
            </w:r>
            <w:hyperlink w:tooltip="An assessment of patient motor function." w:history="true" r:id="R3bc5fe0b261443c2">
              <w:r>
                <w:rPr>
                  <w:rStyle w:val="Hyperlink"/>
                  <w:b/>
                </w:rPr>
                <w:t xml:space="preserve">Resource Utilisation Groups—Activities of Daily Living </w:t>
              </w:r>
            </w:hyperlink>
            <w:r>
              <w:rPr>
                <w:rStyle w:val="row-content"/>
              </w:rPr>
              <w:t xml:space="preserve">(RUG-ADL)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Not required to be reported for patients aged 17 and under at admission.</w:t>
            </w:r>
          </w:p>
          <w:p>
            <w:r>
              <w:rPr>
                <w:rStyle w:val="row-content"/>
              </w:rPr>
              <w:t xml:space="preserve">For episodes of admitted patient care with </w:t>
            </w:r>
            <w:hyperlink w:history="true" r:id="Rcc20681df5ac405d">
              <w:r>
                <w:rPr>
                  <w:rStyle w:val="Hyperlink"/>
                </w:rPr>
                <w:t xml:space="preserve">Hospital service—care type, code N[N]</w:t>
              </w:r>
            </w:hyperlink>
            <w:r>
              <w:rPr>
                <w:rStyle w:val="row-content"/>
              </w:rP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3e72f515b3754b30">
              <w:r>
                <w:rPr>
                  <w:rStyle w:val="Hyperlink"/>
                  <w:b/>
                </w:rPr>
                <w:t xml:space="preserve">palliative care phase</w:t>
              </w:r>
            </w:hyperlink>
            <w:r>
              <w:rPr>
                <w:rStyle w:val="row-content"/>
              </w:rPr>
              <w:t xml:space="preserve"> if the episode of admitted patient care had more than one phase.</w:t>
            </w:r>
          </w:p>
          <w:p>
            <w:r>
              <w:br/>
            </w:r>
            <w:r>
              <w:br/>
            </w:r>
            <w:hyperlink w:history="true" r:id="R6a82feab8aeb4881">
              <w:r>
                <w:rPr>
                  <w:rStyle w:val="Hyperlink"/>
                </w:rPr>
                <w:t xml:space="preserve">Tasmanian Subacute/Non-acute Data Set - 2020</w:t>
              </w:r>
            </w:hyperlink>
          </w:p>
          <w:p>
            <w:pPr>
              <w:spacing w:before="0" w:after="0"/>
            </w:pPr>
            <w:r>
              <w:rPr>
                <w:rStyle w:val="row-content"/>
                <w:color w:val="244061"/>
              </w:rPr>
              <w:t xml:space="preserve">       </w:t>
            </w:r>
            <w:hyperlink w:history="true" r:id="Rc6cf6fcb1c244ee1">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Palliative Care or Maintenance care</w:t>
            </w:r>
          </w:p>
          <w:p>
            <w:r>
              <w:br/>
            </w:r>
            <w:r>
              <w:br/>
            </w:r>
            <w:hyperlink w:history="true" r:id="Rce10ea2b7470425d">
              <w:r>
                <w:rPr>
                  <w:rStyle w:val="Hyperlink"/>
                </w:rPr>
                <w:t xml:space="preserve">Tasmanian Subacute/Non-acute Data Set - 2021</w:t>
              </w:r>
            </w:hyperlink>
          </w:p>
          <w:p>
            <w:pPr>
              <w:spacing w:before="0" w:after="0"/>
            </w:pPr>
            <w:r>
              <w:rPr>
                <w:rStyle w:val="row-content"/>
                <w:color w:val="244061"/>
              </w:rPr>
              <w:t xml:space="preserve">       </w:t>
            </w:r>
            <w:hyperlink w:history="true" r:id="Rfdca889a274148b4">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when the Care Type is Palliative Care or Maintenance care</w:t>
            </w:r>
          </w:p>
          <w:p>
            <w:r>
              <w:br/>
            </w:r>
            <w:r>
              <w:br/>
            </w:r>
            <w:hyperlink w:history="true" r:id="Re7d53e7036694936">
              <w:r>
                <w:rPr>
                  <w:rStyle w:val="Hyperlink"/>
                </w:rPr>
                <w:t xml:space="preserve">Tasmanian Subacute/Non-acute Data Set - 2022</w:t>
              </w:r>
            </w:hyperlink>
          </w:p>
          <w:p>
            <w:pPr>
              <w:spacing w:before="0" w:after="0"/>
            </w:pPr>
            <w:r>
              <w:rPr>
                <w:rStyle w:val="row-content"/>
                <w:color w:val="244061"/>
              </w:rPr>
              <w:t xml:space="preserve">       </w:t>
            </w:r>
            <w:hyperlink w:history="true" r:id="Rf36da25cdcc94ccd">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Required when the Care Type is Palliative Care or Maintenance care</w:t>
            </w:r>
          </w:p>
          <w:p>
            <w:r>
              <w:br/>
            </w:r>
            <w:r>
              <w:br/>
            </w:r>
          </w:p>
        </w:tc>
      </w:tr>
    </w:tbl>
    <w:p/>
    <w:tbl>
      <w:tblPr>
        <w:tblStyle w:val="TableGrid"/>
        <w:tblW w:w="0" w:type="auto"/>
      </w:tblPr>
    </w:tbl>
    <w:p>
      <w:r>
        <w:br/>
      </w:r>
    </w:p>
    <w:sectPr>
      <w:footerReference xmlns:r="http://schemas.openxmlformats.org/officeDocument/2006/relationships" w:type="default" r:id="R29d67aae0fd44c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717986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69e6fdbe4742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d67aae0fd44c54" /><Relationship Type="http://schemas.openxmlformats.org/officeDocument/2006/relationships/header" Target="/word/header1.xml" Id="R9690a18ed7784af7" /><Relationship Type="http://schemas.openxmlformats.org/officeDocument/2006/relationships/settings" Target="/word/settings.xml" Id="Radcb9911d4c54ac9" /><Relationship Type="http://schemas.openxmlformats.org/officeDocument/2006/relationships/styles" Target="/word/styles.xml" Id="R72bd6293fee74b4d" /><Relationship Type="http://schemas.openxmlformats.org/officeDocument/2006/relationships/hyperlink" Target="https://meteor.aihw.gov.au/RegistrationAuthority/12" TargetMode="External" Id="R8dd3cda2b8bc49dd" /><Relationship Type="http://schemas.openxmlformats.org/officeDocument/2006/relationships/hyperlink" Target="https://meteor.aihw.gov.au/RegistrationAuthority/15" TargetMode="External" Id="Re8c7a74f3f374f2b" /><Relationship Type="http://schemas.openxmlformats.org/officeDocument/2006/relationships/hyperlink" Target="https://meteor.aihw.gov.au/content/680996" TargetMode="External" Id="Rdab61c17a0904be9" /><Relationship Type="http://schemas.openxmlformats.org/officeDocument/2006/relationships/hyperlink" Target="https://meteor.aihw.gov.au/content/717984" TargetMode="External" Id="Ra9e1b8d808b448ba" /><Relationship Type="http://schemas.openxmlformats.org/officeDocument/2006/relationships/hyperlink" Target="https://meteor.aihw.gov.au/content/495909" TargetMode="External" Id="R7a39ad5ad0444594" /><Relationship Type="http://schemas.openxmlformats.org/officeDocument/2006/relationships/hyperlink" Target="https://meteor.aihw.gov.au/content/717780" TargetMode="External" Id="R48d1342183da422d" /><Relationship Type="http://schemas.openxmlformats.org/officeDocument/2006/relationships/hyperlink" Target="https://meteor.aihw.gov.au/content/699569" TargetMode="External" Id="R02e73a4c1af84a69" /><Relationship Type="http://schemas.openxmlformats.org/officeDocument/2006/relationships/hyperlink" Target="https://meteor.aihw.gov.au/RegistrationAuthority/12" TargetMode="External" Id="R6c289c1cb1924848" /><Relationship Type="http://schemas.openxmlformats.org/officeDocument/2006/relationships/hyperlink" Target="https://meteor.aihw.gov.au/content/764211" TargetMode="External" Id="R9c5be718801241d3" /><Relationship Type="http://schemas.openxmlformats.org/officeDocument/2006/relationships/hyperlink" Target="https://meteor.aihw.gov.au/RegistrationAuthority/12" TargetMode="External" Id="R6341173130784e0b" /><Relationship Type="http://schemas.openxmlformats.org/officeDocument/2006/relationships/hyperlink" Target="https://meteor.aihw.gov.au/RegistrationAuthority/15" TargetMode="External" Id="R92b0f6c2e7dc4d3a" /><Relationship Type="http://schemas.openxmlformats.org/officeDocument/2006/relationships/hyperlink" Target="https://meteor.aihw.gov.au/content/676194" TargetMode="External" Id="R3db0761a48ec49be" /><Relationship Type="http://schemas.openxmlformats.org/officeDocument/2006/relationships/hyperlink" Target="https://meteor.aihw.gov.au/RegistrationAuthority/12" TargetMode="External" Id="Rad53aaac13f24136" /><Relationship Type="http://schemas.openxmlformats.org/officeDocument/2006/relationships/hyperlink" Target="https://meteor.aihw.gov.au/content/717778" TargetMode="External" Id="R8b6fec0e171444eb" /><Relationship Type="http://schemas.openxmlformats.org/officeDocument/2006/relationships/hyperlink" Target="https://meteor.aihw.gov.au/RegistrationAuthority/12" TargetMode="External" Id="R6151f29ba6294939" /><Relationship Type="http://schemas.openxmlformats.org/officeDocument/2006/relationships/hyperlink" Target="https://meteor.aihw.gov.au/content/730829" TargetMode="External" Id="Rbdba3ff676094fca" /><Relationship Type="http://schemas.openxmlformats.org/officeDocument/2006/relationships/hyperlink" Target="https://meteor.aihw.gov.au/RegistrationAuthority/12" TargetMode="External" Id="Rc3799fbbd8f843a6" /><Relationship Type="http://schemas.openxmlformats.org/officeDocument/2006/relationships/hyperlink" Target="https://meteor.aihw.gov.au/content/713854" TargetMode="External" Id="R543f73cf20164c30" /><Relationship Type="http://schemas.openxmlformats.org/officeDocument/2006/relationships/hyperlink" Target="https://meteor.aihw.gov.au/RegistrationAuthority/12" TargetMode="External" Id="Rd98512b1ec3244c3" /><Relationship Type="http://schemas.openxmlformats.org/officeDocument/2006/relationships/hyperlink" Target="https://meteor.aihw.gov.au/content/711010" TargetMode="External" Id="Rc40b1d18e28842ef" /><Relationship Type="http://schemas.openxmlformats.org/officeDocument/2006/relationships/numbering" Target="/word/numbering.xml" Id="R40c32aba17f74fa9" /><Relationship Type="http://schemas.openxmlformats.org/officeDocument/2006/relationships/hyperlink" Target="https://meteor.aihw.gov.au/content/495909" TargetMode="External" Id="R06b34ebf184f4a03" /><Relationship Type="http://schemas.openxmlformats.org/officeDocument/2006/relationships/hyperlink" Target="https://meteor.aihw.gov.au/content/711010" TargetMode="External" Id="Rdbe5a9c64f704c5b" /><Relationship Type="http://schemas.openxmlformats.org/officeDocument/2006/relationships/hyperlink" Target="https://meteor.aihw.gov.au/content/681549" TargetMode="External" Id="Re4a3d0c237e04bde" /><Relationship Type="http://schemas.openxmlformats.org/officeDocument/2006/relationships/hyperlink" Target="https://meteor.aihw.gov.au/content/727327" TargetMode="External" Id="Rc8d2ef8d23c64e81" /><Relationship Type="http://schemas.openxmlformats.org/officeDocument/2006/relationships/hyperlink" Target="https://meteor.aihw.gov.au/RegistrationAuthority/12" TargetMode="External" Id="R7976129ec4e14cce" /><Relationship Type="http://schemas.openxmlformats.org/officeDocument/2006/relationships/hyperlink" Target="https://meteor.aihw.gov.au/content/711010" TargetMode="External" Id="Rf000a93814cd4f27" /><Relationship Type="http://schemas.openxmlformats.org/officeDocument/2006/relationships/hyperlink" Target="https://meteor.aihw.gov.au/content/495909" TargetMode="External" Id="R4717d0b172eb4d61" /><Relationship Type="http://schemas.openxmlformats.org/officeDocument/2006/relationships/hyperlink" Target="https://meteor.aihw.gov.au/content/711010" TargetMode="External" Id="R92e82de5021e4baf" /><Relationship Type="http://schemas.openxmlformats.org/officeDocument/2006/relationships/hyperlink" Target="https://meteor.aihw.gov.au/content/681549" TargetMode="External" Id="Re7025a2cc6f54268" /><Relationship Type="http://schemas.openxmlformats.org/officeDocument/2006/relationships/hyperlink" Target="https://meteor.aihw.gov.au/content/742177" TargetMode="External" Id="R1380a53ff9c04036" /><Relationship Type="http://schemas.openxmlformats.org/officeDocument/2006/relationships/hyperlink" Target="https://meteor.aihw.gov.au/RegistrationAuthority/12" TargetMode="External" Id="R0d1174f544f04ac9" /><Relationship Type="http://schemas.openxmlformats.org/officeDocument/2006/relationships/hyperlink" Target="https://meteor.aihw.gov.au/content/711010" TargetMode="External" Id="R6c6d780bd23b4514" /><Relationship Type="http://schemas.openxmlformats.org/officeDocument/2006/relationships/hyperlink" Target="https://meteor.aihw.gov.au/content/495909" TargetMode="External" Id="R3bc5fe0b261443c2" /><Relationship Type="http://schemas.openxmlformats.org/officeDocument/2006/relationships/hyperlink" Target="https://meteor.aihw.gov.au/content/711010" TargetMode="External" Id="Rcc20681df5ac405d" /><Relationship Type="http://schemas.openxmlformats.org/officeDocument/2006/relationships/hyperlink" Target="https://meteor.aihw.gov.au/content/681549" TargetMode="External" Id="R3e72f515b3754b30" /><Relationship Type="http://schemas.openxmlformats.org/officeDocument/2006/relationships/hyperlink" Target="https://meteor.aihw.gov.au/content/728528" TargetMode="External" Id="R6a82feab8aeb4881" /><Relationship Type="http://schemas.openxmlformats.org/officeDocument/2006/relationships/hyperlink" Target="https://meteor.aihw.gov.au/RegistrationAuthority/15" TargetMode="External" Id="Rc6cf6fcb1c244ee1" /><Relationship Type="http://schemas.openxmlformats.org/officeDocument/2006/relationships/hyperlink" Target="https://meteor.aihw.gov.au/content/740986" TargetMode="External" Id="Rce10ea2b7470425d" /><Relationship Type="http://schemas.openxmlformats.org/officeDocument/2006/relationships/hyperlink" Target="https://meteor.aihw.gov.au/RegistrationAuthority/15" TargetMode="External" Id="Rfdca889a274148b4" /><Relationship Type="http://schemas.openxmlformats.org/officeDocument/2006/relationships/hyperlink" Target="https://meteor.aihw.gov.au/content/761265" TargetMode="External" Id="Re7d53e7036694936" /><Relationship Type="http://schemas.openxmlformats.org/officeDocument/2006/relationships/hyperlink" Target="https://meteor.aihw.gov.au/RegistrationAuthority/15" TargetMode="External" Id="Rf36da25cdcc94ccd" /></Relationships>
</file>

<file path=word/_rels/header1.xml.rels>&#65279;<?xml version="1.0" encoding="utf-8"?><Relationships xmlns="http://schemas.openxmlformats.org/package/2006/relationships"><Relationship Type="http://schemas.openxmlformats.org/officeDocument/2006/relationships/image" Target="/media/image.png" Id="R6a69e6fdbe4742a7" /></Relationships>
</file>