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a448ee80dfe45c3"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PI22b-Proportion of regular clients who have had a cervical screening, June 2020</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PI22b-Proportion of regular clients who have had a cervical screening,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PI22b-Proportion of regular clients who have had a cervical screening,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717358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a15531202be4f26">
              <w:r>
                <w:rPr>
                  <w:rStyle w:val="Hyperlink"/>
                  <w:color w:val="244061"/>
                </w:rPr>
                <w:t xml:space="preserve">Indigenous</w:t>
              </w:r>
            </w:hyperlink>
            <w:r>
              <w:rPr>
                <w:rStyle w:val="row-content"/>
                <w:color w:val="244061"/>
              </w:rPr>
              <w:t xml:space="preserve">, Superseded 14/07/2021</w:t>
            </w:r>
          </w:p>
          <w:p>
            <w:pPr>
              <w:spacing w:before="0" w:after="0"/>
            </w:pPr>
            <w:hyperlink w:history="true" r:id="R78a8251b5e134b89">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Proportion of female regular clients who are Indigenous, aged 20 to 74, who have not had a hysterectomy and who have had a cervical screening (either Papanicolaou smear (Pap test) or human papillomavirus (HPV) test) within the previous 2 years, 3 years and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Cancer mortality rates are higher for Indigenous Australians than for Other Australians. Higher participation in cervical screening means that more women with precancerous abnormalities can be detected and treated, which is necessary for achieving the overall aim of reducing incidence and mortality from cervical cancer (AIHW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97f32988ce3c4df1">
              <w:r>
                <w:rPr>
                  <w:rStyle w:val="Hyperlink"/>
                </w:rPr>
                <w:t xml:space="preserve">Indigenous primary health care key performance indicators June 2020</w:t>
              </w:r>
            </w:hyperlink>
          </w:p>
          <w:p>
            <w:pPr>
              <w:pStyle w:val="registration-status"/>
              <w:spacing w:before="0" w:after="0"/>
            </w:pPr>
            <w:hyperlink w:history="true" r:id="R4b023323796c4caa">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f5ee97f272524473">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20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aged 20 to 74, who have not had a hysterectomy and who have had a cervical screening (either Pap test or HPV test) within the previous 2 years, 3 years and 5 years.</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spacing w:after="160"/>
            </w:pPr>
            <w:r>
              <w:rPr>
                <w:rStyle w:val="row-content-rich-text"/>
              </w:rPr>
              <w:t xml:space="preserve">Count is of women, not tests.</w:t>
            </w:r>
          </w:p>
          <w:p>
            <w:pPr>
              <w:spacing w:after="160"/>
            </w:pPr>
            <w:r>
              <w:rPr>
                <w:rStyle w:val="row-content-rich-text"/>
              </w:rPr>
              <w:t xml:space="preserve">A Pap test is a test that detects abnormal cell changes.</w:t>
            </w:r>
          </w:p>
          <w:p>
            <w:pPr>
              <w:spacing w:after="160"/>
            </w:pPr>
            <w:r>
              <w:rPr>
                <w:rStyle w:val="row-content-rich-text"/>
              </w:rPr>
              <w:t xml:space="preserve">An HPV test is a test that detects persistent HPV infection that causes the abnormal cell changes prior to the development of cervical cancer.</w:t>
            </w:r>
          </w:p>
          <w:p>
            <w:pPr>
              <w:spacing w:after="160"/>
            </w:pPr>
            <w:r>
              <w:rPr>
                <w:rStyle w:val="row-content-rich-text"/>
              </w:rPr>
              <w:t xml:space="preserve">Include either Pap tests conducted prior to 1 December 2017 or HPV tests conducted from 1 December 2017.</w:t>
            </w:r>
          </w:p>
          <w:p>
            <w:pPr>
              <w:spacing w:after="160"/>
            </w:pPr>
            <w:r>
              <w:rPr>
                <w:rStyle w:val="row-content-rich-text"/>
              </w:rPr>
              <w:t xml:space="preserve">Include HPV tests where the sample is either collected by a health practitioner or self-collected.</w:t>
            </w:r>
          </w:p>
          <w:p>
            <w:pPr>
              <w:spacing w:after="160"/>
            </w:pPr>
            <w:r>
              <w:rPr>
                <w:rStyle w:val="row-content-rich-text"/>
              </w:rPr>
              <w:t xml:space="preserve"> </w:t>
            </w:r>
          </w:p>
          <w:p>
            <w:pPr>
              <w:spacing w:after="160"/>
            </w:pPr>
            <w:r>
              <w:rPr>
                <w:rStyle w:val="row-content-rich-text"/>
              </w:rPr>
              <w:t xml:space="preserve">Presented as a percentage.</w:t>
            </w:r>
          </w:p>
          <w:p>
            <w:pPr/>
            <w:r>
              <w:rPr>
                <w:rStyle w:val="row-content-rich-text"/>
              </w:rPr>
              <w:t xml:space="preserve">Calculated separately for women who have had a cervical screening within the previous 2 years, the previous 3 years and/or the previous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20 to 74, who have not had a hysterectomy and who have had a cervical screening within the previous 2 years.</w:t>
            </w:r>
          </w:p>
          <w:p>
            <w:pPr>
              <w:spacing w:after="160"/>
            </w:pPr>
            <w:r>
              <w:rPr>
                <w:rStyle w:val="row-content-rich-text"/>
              </w:rPr>
              <w:t xml:space="preserve">Calculation B: Number of regular clients who are Indigenous, aged 20 to 74, who have not had a hysterectomy and who have had a cervical screening within the previous 3 years.</w:t>
            </w:r>
          </w:p>
          <w:p>
            <w:pPr/>
            <w:r>
              <w:rPr>
                <w:rStyle w:val="row-content-rich-text"/>
              </w:rPr>
              <w:t xml:space="preserve">Calculation C: Number of regular clients who are Indigenous, aged 20 to 74, who have not had a hysterectomy and who have had a cervical screening within the previous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7563d3ea44594f87">
              <w:r>
                <w:rPr>
                  <w:rStyle w:val="Hyperlink"/>
                </w:rPr>
                <w:t xml:space="preserve">Person—age, total years N[NN]</w:t>
              </w:r>
            </w:hyperlink>
          </w:p>
          <w:p>
            <w:r>
              <w:rPr>
                <w:rStyle w:val="row-content"/>
                <w:b/>
              </w:rPr>
              <w:t xml:space="preserve">Data Source</w:t>
            </w:r>
          </w:p>
          <w:p>
            <w:hyperlink w:history="true" r:id="Rb866043cf6e543ea">
              <w:r>
                <w:rPr>
                  <w:rStyle w:val="Hyperlink"/>
                </w:rPr>
                <w:t xml:space="preserve">Indigenous primary health care data collection</w:t>
              </w:r>
            </w:hyperlink>
          </w:p>
          <w:p>
            <w:r>
              <w:rPr>
                <w:rStyle w:val="row-content"/>
                <w:b/>
              </w:rPr>
              <w:t xml:space="preserve">NMDS / DSS</w:t>
            </w:r>
          </w:p>
          <w:p>
            <w:hyperlink w:history="true" r:id="R48d207fb96f64bfb">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6831f5503114433b">
              <w:r>
                <w:rPr>
                  <w:rStyle w:val="Hyperlink"/>
                </w:rPr>
                <w:t xml:space="preserve">Female—hysterectomy indicator, yes/no code N</w:t>
              </w:r>
            </w:hyperlink>
          </w:p>
          <w:p>
            <w:r>
              <w:rPr>
                <w:rStyle w:val="row-content"/>
                <w:b/>
              </w:rPr>
              <w:t xml:space="preserve">Data Source</w:t>
            </w:r>
          </w:p>
          <w:p>
            <w:hyperlink w:history="true" r:id="R18e22c14b4a147ed">
              <w:r>
                <w:rPr>
                  <w:rStyle w:val="Hyperlink"/>
                </w:rPr>
                <w:t xml:space="preserve">Indigenous primary health care data collection</w:t>
              </w:r>
            </w:hyperlink>
          </w:p>
          <w:p>
            <w:r>
              <w:rPr>
                <w:rStyle w:val="row-content"/>
                <w:b/>
              </w:rPr>
              <w:t xml:space="preserve">NMDS / DSS</w:t>
            </w:r>
          </w:p>
          <w:p>
            <w:hyperlink w:history="true" r:id="Rfc8e0060dc4042c5">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0406dab9684d4a76">
              <w:r>
                <w:rPr>
                  <w:rStyle w:val="Hyperlink"/>
                </w:rPr>
                <w:t xml:space="preserve">Person—Indigenous status, code N</w:t>
              </w:r>
            </w:hyperlink>
          </w:p>
          <w:p>
            <w:r>
              <w:rPr>
                <w:rStyle w:val="row-content"/>
                <w:b/>
              </w:rPr>
              <w:t xml:space="preserve">Data Source</w:t>
            </w:r>
          </w:p>
          <w:p>
            <w:hyperlink w:history="true" r:id="R9cc1cafa725c45e6">
              <w:r>
                <w:rPr>
                  <w:rStyle w:val="Hyperlink"/>
                </w:rPr>
                <w:t xml:space="preserve">Indigenous primary health care data collection</w:t>
              </w:r>
            </w:hyperlink>
          </w:p>
          <w:p>
            <w:r>
              <w:rPr>
                <w:rStyle w:val="row-content"/>
                <w:b/>
              </w:rPr>
              <w:t xml:space="preserve">NMDS / DSS</w:t>
            </w:r>
          </w:p>
          <w:p>
            <w:hyperlink w:history="true" r:id="Raa2577b5b04743f5">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0098a646acde47c7">
              <w:r>
                <w:rPr>
                  <w:rStyle w:val="Hyperlink"/>
                </w:rPr>
                <w:t xml:space="preserve">Person—sex, code X</w:t>
              </w:r>
            </w:hyperlink>
          </w:p>
          <w:p>
            <w:r>
              <w:rPr>
                <w:rStyle w:val="row-content"/>
                <w:b/>
              </w:rPr>
              <w:t xml:space="preserve">Data Source</w:t>
            </w:r>
          </w:p>
          <w:p>
            <w:hyperlink w:history="true" r:id="R7a20ad85fdb14475">
              <w:r>
                <w:rPr>
                  <w:rStyle w:val="Hyperlink"/>
                </w:rPr>
                <w:t xml:space="preserve">Indigenous primary health care data collection</w:t>
              </w:r>
            </w:hyperlink>
          </w:p>
          <w:p>
            <w:r>
              <w:rPr>
                <w:rStyle w:val="row-content"/>
                <w:b/>
              </w:rPr>
              <w:t xml:space="preserve">NMDS / DSS</w:t>
            </w:r>
          </w:p>
          <w:p>
            <w:hyperlink w:history="true" r:id="R2c7fd1a04af14ca3">
              <w:r>
                <w:rPr>
                  <w:rStyle w:val="Hyperlink"/>
                </w:rPr>
                <w:t xml:space="preserve">Indigenous primary health care NBEDS 2020–21</w:t>
              </w:r>
            </w:hyperlink>
          </w:p>
          <w:p>
            <w:r>
              <w:rPr>
                <w:rStyle w:val="row-content"/>
                <w:b/>
              </w:rPr>
              <w:t xml:space="preserve">Guide for use</w:t>
            </w:r>
          </w:p>
          <w:p>
            <w:r>
              <w:rPr>
                <w:rStyle w:val="row-content"/>
              </w:rPr>
              <w:t xml:space="preserve">Female only.</w:t>
            </w:r>
          </w:p>
          <w:p>
            <w:r>
              <w:rPr>
                <w:rStyle w:val="row-content"/>
              </w:rPr>
              <w:t xml:space="preserve"> </w:t>
            </w:r>
          </w:p>
          <w:p>
            <w:r>
              <w:rPr>
                <w:rStyle w:val="row-content"/>
                <w:b/>
                <w:color w:val="000000"/>
              </w:rPr>
              <w:t xml:space="preserve">Data Element / Data Set</w:t>
            </w:r>
          </w:p>
          <w:p>
            <w:hyperlink w:history="true" r:id="Ra28b708a961d414e">
              <w:r>
                <w:rPr>
                  <w:rStyle w:val="Hyperlink"/>
                </w:rPr>
                <w:t xml:space="preserve">Person—regular client indicator, yes/no code N</w:t>
              </w:r>
            </w:hyperlink>
          </w:p>
          <w:p>
            <w:r>
              <w:rPr>
                <w:rStyle w:val="row-content"/>
                <w:b/>
              </w:rPr>
              <w:t xml:space="preserve">Data Source</w:t>
            </w:r>
          </w:p>
          <w:p>
            <w:hyperlink w:history="true" r:id="R8291d35014254c9a">
              <w:r>
                <w:rPr>
                  <w:rStyle w:val="Hyperlink"/>
                </w:rPr>
                <w:t xml:space="preserve">Indigenous primary health care data collection</w:t>
              </w:r>
            </w:hyperlink>
          </w:p>
          <w:p>
            <w:r>
              <w:rPr>
                <w:rStyle w:val="row-content"/>
                <w:b/>
              </w:rPr>
              <w:t xml:space="preserve">NMDS / DSS</w:t>
            </w:r>
          </w:p>
          <w:p>
            <w:hyperlink w:history="true" r:id="R4986ec5da8a24cc7">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a2887d56c05940dd">
              <w:r>
                <w:rPr>
                  <w:rStyle w:val="Hyperlink"/>
                </w:rPr>
                <w:t xml:space="preserve">Female—cervical screening indicator, yes/no/not stated/inadequately described code N</w:t>
              </w:r>
            </w:hyperlink>
          </w:p>
          <w:p>
            <w:r>
              <w:rPr>
                <w:rStyle w:val="row-content"/>
                <w:b/>
              </w:rPr>
              <w:t xml:space="preserve">Data Source</w:t>
            </w:r>
          </w:p>
          <w:p>
            <w:hyperlink w:history="true" r:id="Rf2c2203d230c4485">
              <w:r>
                <w:rPr>
                  <w:rStyle w:val="Hyperlink"/>
                </w:rPr>
                <w:t xml:space="preserve">Indigenous primary health care data collection</w:t>
              </w:r>
            </w:hyperlink>
          </w:p>
          <w:p>
            <w:r>
              <w:rPr>
                <w:rStyle w:val="row-content"/>
                <w:b/>
              </w:rPr>
              <w:t xml:space="preserve">NMDS / DSS</w:t>
            </w:r>
          </w:p>
          <w:p>
            <w:hyperlink w:history="true" r:id="R3d9358a270ae4631">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Calculation A, B and C: Total number of regular clients who are Indigenous, aged 20 to 74 who have not had a hysterectomy.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427d0e5fe9f246f5">
              <w:r>
                <w:rPr>
                  <w:rStyle w:val="Hyperlink"/>
                </w:rPr>
                <w:t xml:space="preserve">Person—age, total years N[NN]</w:t>
              </w:r>
            </w:hyperlink>
          </w:p>
          <w:p>
            <w:r>
              <w:rPr>
                <w:rStyle w:val="row-content"/>
                <w:b/>
              </w:rPr>
              <w:t xml:space="preserve">Data Source</w:t>
            </w:r>
          </w:p>
          <w:p>
            <w:hyperlink w:history="true" r:id="R2b0bb528a8fc4bff">
              <w:r>
                <w:rPr>
                  <w:rStyle w:val="Hyperlink"/>
                </w:rPr>
                <w:t xml:space="preserve">Indigenous primary health care data collection</w:t>
              </w:r>
            </w:hyperlink>
          </w:p>
          <w:p>
            <w:r>
              <w:rPr>
                <w:rStyle w:val="row-content"/>
                <w:b/>
              </w:rPr>
              <w:t xml:space="preserve">NMDS / DSS</w:t>
            </w:r>
          </w:p>
          <w:p>
            <w:hyperlink w:history="true" r:id="R5cd53514dc1a4e96">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e79b894386f34d50">
              <w:r>
                <w:rPr>
                  <w:rStyle w:val="Hyperlink"/>
                </w:rPr>
                <w:t xml:space="preserve">Female—hysterectomy indicator, yes/no code N</w:t>
              </w:r>
            </w:hyperlink>
          </w:p>
          <w:p>
            <w:r>
              <w:rPr>
                <w:rStyle w:val="row-content"/>
                <w:b/>
              </w:rPr>
              <w:t xml:space="preserve">Data Source</w:t>
            </w:r>
          </w:p>
          <w:p>
            <w:hyperlink w:history="true" r:id="R313d6022bacc4d70">
              <w:r>
                <w:rPr>
                  <w:rStyle w:val="Hyperlink"/>
                </w:rPr>
                <w:t xml:space="preserve">Indigenous primary health care data collection</w:t>
              </w:r>
            </w:hyperlink>
          </w:p>
          <w:p>
            <w:r>
              <w:rPr>
                <w:rStyle w:val="row-content"/>
                <w:b/>
              </w:rPr>
              <w:t xml:space="preserve">NMDS / DSS</w:t>
            </w:r>
          </w:p>
          <w:p>
            <w:hyperlink w:history="true" r:id="R66ffe7a475f94294">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8dff48d365e940c4">
              <w:r>
                <w:rPr>
                  <w:rStyle w:val="Hyperlink"/>
                </w:rPr>
                <w:t xml:space="preserve">Person—Indigenous status, code N</w:t>
              </w:r>
            </w:hyperlink>
          </w:p>
          <w:p>
            <w:r>
              <w:rPr>
                <w:rStyle w:val="row-content"/>
                <w:b/>
              </w:rPr>
              <w:t xml:space="preserve">Data Source</w:t>
            </w:r>
          </w:p>
          <w:p>
            <w:hyperlink w:history="true" r:id="Reb2aaf4da23143f5">
              <w:r>
                <w:rPr>
                  <w:rStyle w:val="Hyperlink"/>
                </w:rPr>
                <w:t xml:space="preserve">Indigenous primary health care data collection</w:t>
              </w:r>
            </w:hyperlink>
          </w:p>
          <w:p>
            <w:r>
              <w:rPr>
                <w:rStyle w:val="row-content"/>
                <w:b/>
              </w:rPr>
              <w:t xml:space="preserve">NMDS / DSS</w:t>
            </w:r>
          </w:p>
          <w:p>
            <w:hyperlink w:history="true" r:id="R0997e33fe888493b">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b8f68133fdd84432">
              <w:r>
                <w:rPr>
                  <w:rStyle w:val="Hyperlink"/>
                </w:rPr>
                <w:t xml:space="preserve">Person—sex, code X</w:t>
              </w:r>
            </w:hyperlink>
          </w:p>
          <w:p>
            <w:r>
              <w:rPr>
                <w:rStyle w:val="row-content"/>
                <w:b/>
              </w:rPr>
              <w:t xml:space="preserve">Data Source</w:t>
            </w:r>
          </w:p>
          <w:p>
            <w:hyperlink w:history="true" r:id="R22b928b948bc4169">
              <w:r>
                <w:rPr>
                  <w:rStyle w:val="Hyperlink"/>
                </w:rPr>
                <w:t xml:space="preserve">Indigenous primary health care data collection</w:t>
              </w:r>
            </w:hyperlink>
          </w:p>
          <w:p>
            <w:r>
              <w:rPr>
                <w:rStyle w:val="row-content"/>
                <w:b/>
              </w:rPr>
              <w:t xml:space="preserve">NMDS / DSS</w:t>
            </w:r>
          </w:p>
          <w:p>
            <w:hyperlink w:history="true" r:id="R53fd9d677e5a42c7">
              <w:r>
                <w:rPr>
                  <w:rStyle w:val="Hyperlink"/>
                </w:rPr>
                <w:t xml:space="preserve">Indigenous primary health care NBEDS 2020–21</w:t>
              </w:r>
            </w:hyperlink>
          </w:p>
          <w:p>
            <w:r>
              <w:rPr>
                <w:rStyle w:val="row-content"/>
                <w:b/>
              </w:rPr>
              <w:t xml:space="preserve">Guide for use</w:t>
            </w:r>
          </w:p>
          <w:p>
            <w:r>
              <w:rPr>
                <w:rStyle w:val="row-content"/>
              </w:rPr>
              <w:t xml:space="preserve">Female only.</w:t>
            </w:r>
          </w:p>
          <w:p>
            <w:r>
              <w:rPr>
                <w:rStyle w:val="row-content"/>
              </w:rPr>
              <w:t xml:space="preserve"> </w:t>
            </w:r>
          </w:p>
          <w:p>
            <w:r>
              <w:rPr>
                <w:rStyle w:val="row-content"/>
                <w:b/>
                <w:color w:val="000000"/>
              </w:rPr>
              <w:t xml:space="preserve">Data Element / Data Set</w:t>
            </w:r>
          </w:p>
          <w:p>
            <w:hyperlink w:history="true" r:id="R629f04fd3ed14694">
              <w:r>
                <w:rPr>
                  <w:rStyle w:val="Hyperlink"/>
                </w:rPr>
                <w:t xml:space="preserve">Person—regular client indicator, yes/no code N</w:t>
              </w:r>
            </w:hyperlink>
          </w:p>
          <w:p>
            <w:r>
              <w:rPr>
                <w:rStyle w:val="row-content"/>
                <w:b/>
              </w:rPr>
              <w:t xml:space="preserve">Data Source</w:t>
            </w:r>
          </w:p>
          <w:p>
            <w:hyperlink w:history="true" r:id="R7f94c1aa27dd42ab">
              <w:r>
                <w:rPr>
                  <w:rStyle w:val="Hyperlink"/>
                </w:rPr>
                <w:t xml:space="preserve">Indigenous primary health care data collection</w:t>
              </w:r>
            </w:hyperlink>
          </w:p>
          <w:p>
            <w:r>
              <w:rPr>
                <w:rStyle w:val="row-content"/>
                <w:b/>
              </w:rPr>
              <w:t xml:space="preserve">NMDS / DSS</w:t>
            </w:r>
          </w:p>
          <w:p>
            <w:hyperlink w:history="true" r:id="Rbcff4bac5a274913">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Age:</w:t>
            </w:r>
          </w:p>
          <w:p>
            <w:pPr>
              <w:spacing w:after="160"/>
            </w:pPr>
            <w:r>
              <w:rPr>
                <w:rStyle w:val="row-content-rich-text"/>
              </w:rPr>
              <w:t xml:space="preserve">a)    20-24 years</w:t>
            </w:r>
          </w:p>
          <w:p>
            <w:pPr>
              <w:spacing w:after="160"/>
            </w:pPr>
            <w:r>
              <w:rPr>
                <w:rStyle w:val="row-content-rich-text"/>
              </w:rPr>
              <w:t xml:space="preserve">b)    25-34 years</w:t>
            </w:r>
          </w:p>
          <w:p>
            <w:pPr>
              <w:spacing w:after="160"/>
            </w:pPr>
            <w:r>
              <w:rPr>
                <w:rStyle w:val="row-content-rich-text"/>
              </w:rPr>
              <w:t xml:space="preserve">c)    35-44 years</w:t>
            </w:r>
          </w:p>
          <w:p>
            <w:pPr>
              <w:spacing w:after="160"/>
            </w:pPr>
            <w:r>
              <w:rPr>
                <w:rStyle w:val="row-content-rich-text"/>
              </w:rPr>
              <w:t xml:space="preserve">d)    45-54 years</w:t>
            </w:r>
          </w:p>
          <w:p>
            <w:pPr>
              <w:spacing w:after="160"/>
            </w:pPr>
            <w:r>
              <w:rPr>
                <w:rStyle w:val="row-content-rich-text"/>
              </w:rPr>
              <w:t xml:space="preserve">e)    55-64 years</w:t>
            </w:r>
          </w:p>
          <w:p>
            <w:pPr>
              <w:spacing w:after="160"/>
            </w:pPr>
            <w:r>
              <w:rPr>
                <w:rStyle w:val="row-content-rich-text"/>
              </w:rPr>
              <w:t xml:space="preserve">f)     65-69 years</w:t>
            </w:r>
          </w:p>
          <w:p>
            <w:pPr/>
            <w:r>
              <w:rPr>
                <w:rStyle w:val="row-content-rich-text"/>
              </w:rPr>
              <w:t xml:space="preserve">g)    70-74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2"/>
              </w:numPr>
            </w:pPr>
            <w:r>
              <w:rPr>
                <w:rStyle w:val="row-content-rich-text"/>
              </w:rPr>
              <w:t xml:space="preserve">Indigenous primary health care NBEDS 2019–20 covers the period 01/01/2020 to 30/06/2020</w:t>
            </w:r>
          </w:p>
          <w:p>
            <w:pPr>
              <w:pStyle w:val="ListParagraph"/>
              <w:numPr>
                <w:ilvl w:val="0"/>
                <w:numId w:val="2"/>
              </w:numPr>
            </w:pPr>
            <w:r>
              <w:rPr>
                <w:rStyle w:val="row-content-rich-text"/>
              </w:rPr>
              <w:t xml:space="preserve">Indigenous primary health care NBEDS 2020–21 covers the period 01/07/2020 to 30/06/2021</w:t>
            </w:r>
          </w:p>
          <w:p>
            <w:pPr>
              <w:pStyle w:val="ListParagraph"/>
              <w:numPr>
                <w:ilvl w:val="0"/>
                <w:numId w:val="2"/>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767e50889c944258">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4506036f7bcf48d6">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AIHW (Australian Institute of Health and Welfare) 2017. National Cervical Screening Program data dictionary: Version 1.0. Cancer series no. 103. Cat. no. CAN 102. Canberra: AIHW.</w:t>
            </w:r>
          </w:p>
          <w:p>
            <w:pPr/>
            <w:r>
              <w:rPr>
                <w:rStyle w:val="row-content-rich-text"/>
              </w:rPr>
              <w:t xml:space="preserve">DoH (Australian Government Department of Health) 2017. National Cervical Screening Program. DoH, Canberra. Viewed 24 July 2019, </w:t>
            </w:r>
            <w:hyperlink w:history="true" r:id="R58b2f4be49d0419a">
              <w:r>
                <w:rPr>
                  <w:rStyle w:val="Hyperlink"/>
                </w:rPr>
                <w:t xml:space="preserve">http://www.cancerscreening.gov.au/internet/screening/publishing.nsf/Content/cervical-screening-1</w:t>
              </w:r>
            </w:hyperlink>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5dc7c9fe10bc45db">
              <w:r>
                <w:rPr>
                  <w:rStyle w:val="Hyperlink"/>
                </w:rPr>
                <w:t xml:space="preserve">Indigenous primary health care: PI22b-Proportion of regular clients who have had a cervical screening, 2018-2019</w:t>
              </w:r>
            </w:hyperlink>
          </w:p>
          <w:p>
            <w:pPr>
              <w:pStyle w:val="registration-status"/>
              <w:spacing w:before="0" w:after="0"/>
            </w:pPr>
            <w:hyperlink w:history="true" r:id="R1bbc17b9e9054e79">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f95f5f5b49e0436f">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7e45c06bb0b44375">
              <w:r>
                <w:rPr>
                  <w:rStyle w:val="Hyperlink"/>
                </w:rPr>
                <w:t xml:space="preserve">Indigenous-specific primary health care: PI22b-Proportion of female Indigenous regular clients who have a cervical screening (HPV) test, December 2020</w:t>
              </w:r>
            </w:hyperlink>
          </w:p>
          <w:p>
            <w:pPr>
              <w:pStyle w:val="registration-status"/>
              <w:spacing w:before="0" w:after="0"/>
            </w:pPr>
            <w:hyperlink w:history="true" r:id="R7fbaacfb13fc44da">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60ee343cf30b4771">
              <w:r>
                <w:rPr>
                  <w:rStyle w:val="Hyperlink"/>
                </w:rPr>
                <w:t xml:space="preserve">Indigenous primary health care: PI22a-Number of regular clients who have had a cervical screening, June 2020</w:t>
              </w:r>
            </w:hyperlink>
          </w:p>
          <w:p>
            <w:pPr>
              <w:pStyle w:val="registration-status"/>
              <w:spacing w:before="0" w:after="0"/>
            </w:pPr>
            <w:hyperlink w:history="true" r:id="R744d544274544b3c">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fd2dc37d09894a8f">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2de759532e56404e"/>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717358</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b260c42fc8f34895"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2de759532e56404e" /><Relationship Type="http://schemas.openxmlformats.org/officeDocument/2006/relationships/header" Target="/word/header1.xml" Id="R3f04e723c2834650" /><Relationship Type="http://schemas.openxmlformats.org/officeDocument/2006/relationships/settings" Target="/word/settings.xml" Id="Rae2ebe7b1bb540cf" /><Relationship Type="http://schemas.openxmlformats.org/officeDocument/2006/relationships/styles" Target="/word/styles.xml" Id="R736fd3ae22e14de1" /><Relationship Type="http://schemas.openxmlformats.org/officeDocument/2006/relationships/numbering" Target="/word/numbering.xml" Id="R8a5ac7d8efc34530" /><Relationship Type="http://schemas.openxmlformats.org/officeDocument/2006/relationships/hyperlink" Target="https://meteor.aihw.gov.au/RegistrationAuthority/6" TargetMode="External" Id="R8a15531202be4f26" /><Relationship Type="http://schemas.openxmlformats.org/officeDocument/2006/relationships/hyperlink" Target="https://meteor.aihw.gov.au/RegistrationAuthority/12" TargetMode="External" Id="R78a8251b5e134b89" /><Relationship Type="http://schemas.openxmlformats.org/officeDocument/2006/relationships/hyperlink" Target="https://meteor.aihw.gov.au/content/717261" TargetMode="External" Id="R97f32988ce3c4df1" /><Relationship Type="http://schemas.openxmlformats.org/officeDocument/2006/relationships/hyperlink" Target="https://meteor.aihw.gov.au/RegistrationAuthority/12" TargetMode="External" Id="R4b023323796c4caa" /><Relationship Type="http://schemas.openxmlformats.org/officeDocument/2006/relationships/hyperlink" Target="https://meteor.aihw.gov.au/RegistrationAuthority/6" TargetMode="External" Id="Rf5ee97f272524473" /><Relationship Type="http://schemas.openxmlformats.org/officeDocument/2006/relationships/hyperlink" Target="https://meteor.aihw.gov.au/content/303794" TargetMode="External" Id="R7563d3ea44594f87" /><Relationship Type="http://schemas.openxmlformats.org/officeDocument/2006/relationships/hyperlink" Target="https://meteor.aihw.gov.au/content/430643" TargetMode="External" Id="Rb866043cf6e543ea" /><Relationship Type="http://schemas.openxmlformats.org/officeDocument/2006/relationships/hyperlink" Target="https://meteor.aihw.gov.au/content/715320" TargetMode="External" Id="R48d207fb96f64bfb" /><Relationship Type="http://schemas.openxmlformats.org/officeDocument/2006/relationships/hyperlink" Target="https://meteor.aihw.gov.au/content/457775" TargetMode="External" Id="R6831f5503114433b" /><Relationship Type="http://schemas.openxmlformats.org/officeDocument/2006/relationships/hyperlink" Target="https://meteor.aihw.gov.au/content/430643" TargetMode="External" Id="R18e22c14b4a147ed" /><Relationship Type="http://schemas.openxmlformats.org/officeDocument/2006/relationships/hyperlink" Target="https://meteor.aihw.gov.au/content/715320" TargetMode="External" Id="Rfc8e0060dc4042c5" /><Relationship Type="http://schemas.openxmlformats.org/officeDocument/2006/relationships/hyperlink" Target="https://meteor.aihw.gov.au/content/602543" TargetMode="External" Id="R0406dab9684d4a76" /><Relationship Type="http://schemas.openxmlformats.org/officeDocument/2006/relationships/hyperlink" Target="https://meteor.aihw.gov.au/content/430643" TargetMode="External" Id="R9cc1cafa725c45e6" /><Relationship Type="http://schemas.openxmlformats.org/officeDocument/2006/relationships/hyperlink" Target="https://meteor.aihw.gov.au/content/715320" TargetMode="External" Id="Raa2577b5b04743f5" /><Relationship Type="http://schemas.openxmlformats.org/officeDocument/2006/relationships/hyperlink" Target="https://meteor.aihw.gov.au/content/635126" TargetMode="External" Id="R0098a646acde47c7" /><Relationship Type="http://schemas.openxmlformats.org/officeDocument/2006/relationships/hyperlink" Target="https://meteor.aihw.gov.au/content/430643" TargetMode="External" Id="R7a20ad85fdb14475" /><Relationship Type="http://schemas.openxmlformats.org/officeDocument/2006/relationships/hyperlink" Target="https://meteor.aihw.gov.au/content/715320" TargetMode="External" Id="R2c7fd1a04af14ca3" /><Relationship Type="http://schemas.openxmlformats.org/officeDocument/2006/relationships/hyperlink" Target="https://meteor.aihw.gov.au/content/686291" TargetMode="External" Id="Ra28b708a961d414e" /><Relationship Type="http://schemas.openxmlformats.org/officeDocument/2006/relationships/hyperlink" Target="https://meteor.aihw.gov.au/content/430643" TargetMode="External" Id="R8291d35014254c9a" /><Relationship Type="http://schemas.openxmlformats.org/officeDocument/2006/relationships/hyperlink" Target="https://meteor.aihw.gov.au/content/715320" TargetMode="External" Id="R4986ec5da8a24cc7" /><Relationship Type="http://schemas.openxmlformats.org/officeDocument/2006/relationships/hyperlink" Target="https://meteor.aihw.gov.au/content/719551" TargetMode="External" Id="Ra2887d56c05940dd" /><Relationship Type="http://schemas.openxmlformats.org/officeDocument/2006/relationships/hyperlink" Target="https://meteor.aihw.gov.au/content/430643" TargetMode="External" Id="Rf2c2203d230c4485" /><Relationship Type="http://schemas.openxmlformats.org/officeDocument/2006/relationships/hyperlink" Target="https://meteor.aihw.gov.au/content/715320" TargetMode="External" Id="R3d9358a270ae4631" /><Relationship Type="http://schemas.openxmlformats.org/officeDocument/2006/relationships/hyperlink" Target="https://meteor.aihw.gov.au/content/303794" TargetMode="External" Id="R427d0e5fe9f246f5" /><Relationship Type="http://schemas.openxmlformats.org/officeDocument/2006/relationships/hyperlink" Target="https://meteor.aihw.gov.au/content/430643" TargetMode="External" Id="R2b0bb528a8fc4bff" /><Relationship Type="http://schemas.openxmlformats.org/officeDocument/2006/relationships/hyperlink" Target="https://meteor.aihw.gov.au/content/715320" TargetMode="External" Id="R5cd53514dc1a4e96" /><Relationship Type="http://schemas.openxmlformats.org/officeDocument/2006/relationships/hyperlink" Target="https://meteor.aihw.gov.au/content/457775" TargetMode="External" Id="Re79b894386f34d50" /><Relationship Type="http://schemas.openxmlformats.org/officeDocument/2006/relationships/hyperlink" Target="https://meteor.aihw.gov.au/content/430643" TargetMode="External" Id="R313d6022bacc4d70" /><Relationship Type="http://schemas.openxmlformats.org/officeDocument/2006/relationships/hyperlink" Target="https://meteor.aihw.gov.au/content/715320" TargetMode="External" Id="R66ffe7a475f94294" /><Relationship Type="http://schemas.openxmlformats.org/officeDocument/2006/relationships/hyperlink" Target="https://meteor.aihw.gov.au/content/602543" TargetMode="External" Id="R8dff48d365e940c4" /><Relationship Type="http://schemas.openxmlformats.org/officeDocument/2006/relationships/hyperlink" Target="https://meteor.aihw.gov.au/content/430643" TargetMode="External" Id="Reb2aaf4da23143f5" /><Relationship Type="http://schemas.openxmlformats.org/officeDocument/2006/relationships/hyperlink" Target="https://meteor.aihw.gov.au/content/715320" TargetMode="External" Id="R0997e33fe888493b" /><Relationship Type="http://schemas.openxmlformats.org/officeDocument/2006/relationships/hyperlink" Target="https://meteor.aihw.gov.au/content/635126" TargetMode="External" Id="Rb8f68133fdd84432" /><Relationship Type="http://schemas.openxmlformats.org/officeDocument/2006/relationships/hyperlink" Target="https://meteor.aihw.gov.au/content/430643" TargetMode="External" Id="R22b928b948bc4169" /><Relationship Type="http://schemas.openxmlformats.org/officeDocument/2006/relationships/hyperlink" Target="https://meteor.aihw.gov.au/content/715320" TargetMode="External" Id="R53fd9d677e5a42c7" /><Relationship Type="http://schemas.openxmlformats.org/officeDocument/2006/relationships/hyperlink" Target="https://meteor.aihw.gov.au/content/686291" TargetMode="External" Id="R629f04fd3ed14694" /><Relationship Type="http://schemas.openxmlformats.org/officeDocument/2006/relationships/hyperlink" Target="https://meteor.aihw.gov.au/content/430643" TargetMode="External" Id="R7f94c1aa27dd42ab" /><Relationship Type="http://schemas.openxmlformats.org/officeDocument/2006/relationships/hyperlink" Target="https://meteor.aihw.gov.au/content/715320" TargetMode="External" Id="Rbcff4bac5a274913" /><Relationship Type="http://schemas.openxmlformats.org/officeDocument/2006/relationships/hyperlink" Target="https://meteor.aihw.gov.au/content/410681" TargetMode="External" Id="R767e50889c944258" /><Relationship Type="http://schemas.openxmlformats.org/officeDocument/2006/relationships/hyperlink" Target="https://meteor.aihw.gov.au/content/430643" TargetMode="External" Id="R4506036f7bcf48d6" /><Relationship Type="http://schemas.openxmlformats.org/officeDocument/2006/relationships/hyperlink" Target="http://www.cancerscreening.gov.au/internet/screening/publishing.nsf/Content/cervical-screening-1" TargetMode="External" Id="R58b2f4be49d0419a" /><Relationship Type="http://schemas.openxmlformats.org/officeDocument/2006/relationships/hyperlink" Target="https://meteor.aihw.gov.au/content/688016" TargetMode="External" Id="R5dc7c9fe10bc45db" /><Relationship Type="http://schemas.openxmlformats.org/officeDocument/2006/relationships/hyperlink" Target="https://meteor.aihw.gov.au/RegistrationAuthority/12" TargetMode="External" Id="R1bbc17b9e9054e79" /><Relationship Type="http://schemas.openxmlformats.org/officeDocument/2006/relationships/hyperlink" Target="https://meteor.aihw.gov.au/RegistrationAuthority/6" TargetMode="External" Id="Rf95f5f5b49e0436f" /><Relationship Type="http://schemas.openxmlformats.org/officeDocument/2006/relationships/hyperlink" Target="https://meteor.aihw.gov.au/content/731863" TargetMode="External" Id="R7e45c06bb0b44375" /><Relationship Type="http://schemas.openxmlformats.org/officeDocument/2006/relationships/hyperlink" Target="https://meteor.aihw.gov.au/RegistrationAuthority/6" TargetMode="External" Id="R7fbaacfb13fc44da" /><Relationship Type="http://schemas.openxmlformats.org/officeDocument/2006/relationships/hyperlink" Target="https://meteor.aihw.gov.au/content/717356" TargetMode="External" Id="R60ee343cf30b4771" /><Relationship Type="http://schemas.openxmlformats.org/officeDocument/2006/relationships/hyperlink" Target="https://meteor.aihw.gov.au/RegistrationAuthority/12" TargetMode="External" Id="R744d544274544b3c" /><Relationship Type="http://schemas.openxmlformats.org/officeDocument/2006/relationships/hyperlink" Target="https://meteor.aihw.gov.au/RegistrationAuthority/6" TargetMode="External" Id="Rfd2dc37d09894a8f" /></Relationships>
</file>

<file path=word/_rels/header1.xml.rels>&#65279;<?xml version="1.0" encoding="utf-8"?><Relationships xmlns="http://schemas.openxmlformats.org/package/2006/relationships"><Relationship Type="http://schemas.openxmlformats.org/officeDocument/2006/relationships/image" Target="/media/image.png" Id="Rb260c42fc8f34895" /></Relationships>
</file>