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020fd4086c848cb"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PI21a-Number of regular clients aged 35 to 74 years who have had an absolute cardiovascular disease (CVD) risk assessment with results within specified levels, June 2020</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PI21a-Number of regular clients aged 35 to 74 years who have had an absolute cardiovascular disease (CVD) risk assessment with results within specified levels,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PI21a-Number of regular clients, aged 35 to 74 years, who have had absolute cardiovascular disease (CVD) risk assessment with results within specified levels,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717352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62ef001eea94326">
              <w:r>
                <w:rPr>
                  <w:rStyle w:val="Hyperlink"/>
                  <w:color w:val="244061"/>
                </w:rPr>
                <w:t xml:space="preserve">Indigenous</w:t>
              </w:r>
            </w:hyperlink>
            <w:r>
              <w:rPr>
                <w:rStyle w:val="row-content"/>
                <w:color w:val="244061"/>
              </w:rPr>
              <w:t xml:space="preserve">, Superseded 14/07/2021</w:t>
            </w:r>
          </w:p>
          <w:p>
            <w:pPr>
              <w:spacing w:before="0" w:after="0"/>
            </w:pPr>
            <w:hyperlink w:history="true" r:id="Rc2a4c891ca4e4ad1">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Indigenous regular clients, aged 35 to 74 and with no known history of cardiovascular disease (CVD), who have had an absolute CVD risk assessment recorded within the previous 24 months and whose CVD risk was categorised as one of the following:</w:t>
            </w:r>
          </w:p>
          <w:p>
            <w:pPr>
              <w:pStyle w:val="ListParagraph"/>
              <w:numPr>
                <w:ilvl w:val="0"/>
                <w:numId w:val="2"/>
              </w:numPr>
            </w:pPr>
            <w:r>
              <w:rPr>
                <w:rStyle w:val="row-content-rich-text"/>
              </w:rPr>
              <w:t xml:space="preserve">High (greater than 15% chance of a cardiovascular event in the next 5 years)</w:t>
            </w:r>
          </w:p>
          <w:p>
            <w:pPr>
              <w:pStyle w:val="ListParagraph"/>
              <w:numPr>
                <w:ilvl w:val="0"/>
                <w:numId w:val="2"/>
              </w:numPr>
            </w:pPr>
            <w:r>
              <w:rPr>
                <w:rStyle w:val="row-content-rich-text"/>
              </w:rPr>
              <w:t xml:space="preserve">Moderate (10-15% chance of a cardiovascular event in the next 5 years)</w:t>
            </w:r>
          </w:p>
          <w:p>
            <w:pPr>
              <w:pStyle w:val="ListParagraph"/>
              <w:numPr>
                <w:ilvl w:val="0"/>
                <w:numId w:val="2"/>
              </w:numPr>
            </w:pPr>
            <w:r>
              <w:rPr>
                <w:rStyle w:val="row-content-rich-text"/>
              </w:rPr>
              <w:t xml:space="preserve">Low (less than 10% chance of a cardiovascular event in the next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Early identification of persons at high CVD risk is important for effective prevention and management of the underlying disease. This is particularly the case for Indigenous Australians because of their poor CVD outcomes.</w:t>
            </w:r>
          </w:p>
          <w:p>
            <w:pPr/>
            <w:r>
              <w:rPr>
                <w:rStyle w:val="row-content-rich-text"/>
              </w:rPr>
              <w:t xml:space="preserve">Since a number of risk factors contribute to the development of CVD in an accumulative fashion, using two or more risk factors to assess risk has greater predictive power and is more accurate than if considered alone. Basing management decisions using multiple CVD risk factors therefore should improve health outcomes.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32343c4d6c3e460f">
              <w:r>
                <w:rPr>
                  <w:rStyle w:val="Hyperlink"/>
                </w:rPr>
                <w:t xml:space="preserve">Indigenous primary health care key performance indicators June 2020</w:t>
              </w:r>
            </w:hyperlink>
          </w:p>
          <w:p>
            <w:pPr>
              <w:pStyle w:val="registration-status"/>
              <w:spacing w:before="0" w:after="0"/>
            </w:pPr>
            <w:hyperlink w:history="true" r:id="Rea9b4250848b4552">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dd452cf992994e56">
              <w:r>
                <w:rPr>
                  <w:rStyle w:val="Hyperlink"/>
                  <w:color w:val="244061"/>
                </w:rPr>
                <w:t xml:space="preserve">Indigenous</w:t>
              </w:r>
            </w:hyperlink>
            <w:r>
              <w:rPr>
                <w:rStyle w:val="row-content"/>
                <w:color w:val="244061"/>
              </w:rPr>
              <w:t xml:space="preserve">, Superseded 14/07/2021</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Outcome area:</w:t>
            </w:r>
          </w:p>
        </w:tc>
        <w:tc>
          <w:tcPr>
            <w:tcBorders>
              <w:top w:val="none" w:color="000000" w:sz="0"/>
              <w:left w:val="none" w:color="000000" w:sz="0"/>
              <w:bottom w:val="none" w:color="000000" w:sz="0"/>
              <w:right w:val="none" w:color="000000" w:sz="0"/>
            </w:tcBorders>
            <w:vAlign w:val="top"/>
          </w:tcPr>
          <w:p>
            <w:hyperlink w:history="true" r:id="Ra5ab3c9b54114d2f">
              <w:r>
                <w:rPr>
                  <w:rStyle w:val="Hyperlink"/>
                </w:rPr>
                <w:t xml:space="preserve">Indigenous Australians achieve health outcomes comparable to the broader population</w:t>
              </w:r>
            </w:hyperlink>
          </w:p>
          <w:p>
            <w:pPr>
              <w:pStyle w:val="registration-status"/>
              <w:spacing w:before="0" w:after="0"/>
            </w:pPr>
            <w:hyperlink w:history="true" r:id="R5f2228495c9b4b33">
              <w:r>
                <w:rPr>
                  <w:rStyle w:val="Hyperlink"/>
                  <w:color w:val="244061"/>
                </w:rPr>
                <w:t xml:space="preserve">Indigenous</w:t>
              </w:r>
            </w:hyperlink>
            <w:r>
              <w:rPr>
                <w:rStyle w:val="row-content"/>
                <w:color w:val="244061"/>
              </w:rPr>
              <w:t xml:space="preserve">, Superseded 25/02/2024</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35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Indigenous regular clients, aged 35 to 74 and with no known history of cardiovascular disease (CVD), who have had an absolute CVD risk assessment recorded within the previous 24 months and whose CVD risk was categorised as one of the following:</w:t>
            </w:r>
          </w:p>
          <w:p>
            <w:pPr>
              <w:pStyle w:val="ListParagraph"/>
              <w:numPr>
                <w:ilvl w:val="0"/>
                <w:numId w:val="3"/>
              </w:numPr>
            </w:pPr>
            <w:r>
              <w:rPr>
                <w:rStyle w:val="row-content-rich-text"/>
              </w:rPr>
              <w:t xml:space="preserve">High (greater than 15% chance of a cardiovascular event in the next 5 years)</w:t>
            </w:r>
          </w:p>
          <w:p>
            <w:pPr>
              <w:pStyle w:val="ListParagraph"/>
              <w:numPr>
                <w:ilvl w:val="0"/>
                <w:numId w:val="3"/>
              </w:numPr>
            </w:pPr>
            <w:r>
              <w:rPr>
                <w:rStyle w:val="row-content-rich-text"/>
              </w:rPr>
              <w:t xml:space="preserve">Moderate (10-15% chance of a cardiovascular event in the next 5 years)</w:t>
            </w:r>
          </w:p>
          <w:p>
            <w:pPr>
              <w:pStyle w:val="ListParagraph"/>
              <w:numPr>
                <w:ilvl w:val="0"/>
                <w:numId w:val="3"/>
              </w:numPr>
            </w:pPr>
            <w:r>
              <w:rPr>
                <w:rStyle w:val="row-content-rich-text"/>
              </w:rPr>
              <w:t xml:space="preserve">Low (less than 10% chance of a cardiovascular event in the next 5 years).</w:t>
            </w:r>
          </w:p>
          <w:p>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Indigenous regular clients, aged 35 to 74 and with no known history of cardiovascular disease (CVD), who have had an absolute CVD risk assessment recorded within the previous 24 months with risk assessed as high (greater than 15% over the next 5 years).</w:t>
            </w:r>
          </w:p>
          <w:p>
            <w:pPr>
              <w:spacing w:after="160"/>
            </w:pPr>
            <w:r>
              <w:rPr>
                <w:rStyle w:val="row-content-rich-text"/>
              </w:rPr>
              <w:t xml:space="preserve">Calculation B: Number of Indigenous regular clients, aged 35 to 74 and with no known history of cardiovascular disease (CVD), who have had an absolute CVD risk assessment recorded within the previous 24 months with risk assessed as moderate (10-15% over the next 5 years).</w:t>
            </w:r>
          </w:p>
          <w:p>
            <w:pPr/>
            <w:r>
              <w:rPr>
                <w:rStyle w:val="row-content-rich-text"/>
              </w:rPr>
              <w:t xml:space="preserve">Calculation C: Number of Indigenous regular clients, aged 35 to 74 and with no known history of cardiovascular disease (CVD), who have had an absolute CVD risk assessment recorded within the previous 24 months with risk assessed as low (less than 10% over the next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5f0e038a7be4242">
              <w:r>
                <w:rPr>
                  <w:rStyle w:val="Hyperlink"/>
                </w:rPr>
                <w:t xml:space="preserve">Person—age, total years N[NN]</w:t>
              </w:r>
            </w:hyperlink>
          </w:p>
          <w:p>
            <w:r>
              <w:rPr>
                <w:rStyle w:val="row-content"/>
                <w:b/>
              </w:rPr>
              <w:t xml:space="preserve">Data Source</w:t>
            </w:r>
          </w:p>
          <w:p>
            <w:hyperlink w:history="true" r:id="R4f21b5b3c95049b3">
              <w:r>
                <w:rPr>
                  <w:rStyle w:val="Hyperlink"/>
                </w:rPr>
                <w:t xml:space="preserve">Indigenous primary health care data collection</w:t>
              </w:r>
            </w:hyperlink>
          </w:p>
          <w:p>
            <w:r>
              <w:rPr>
                <w:rStyle w:val="row-content"/>
                <w:b/>
              </w:rPr>
              <w:t xml:space="preserve">NMDS / DSS</w:t>
            </w:r>
          </w:p>
          <w:p>
            <w:hyperlink w:history="true" r:id="Rbc97f996698e48c8">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b01b16bbd13145b0">
              <w:r>
                <w:rPr>
                  <w:rStyle w:val="Hyperlink"/>
                </w:rPr>
                <w:t xml:space="preserve">Person—cardiovascular disease recorded indicator, yes/no code N</w:t>
              </w:r>
            </w:hyperlink>
          </w:p>
          <w:p>
            <w:r>
              <w:rPr>
                <w:rStyle w:val="row-content"/>
                <w:b/>
              </w:rPr>
              <w:t xml:space="preserve">Data Source</w:t>
            </w:r>
          </w:p>
          <w:p>
            <w:hyperlink w:history="true" r:id="R3e071a96f14a4e50">
              <w:r>
                <w:rPr>
                  <w:rStyle w:val="Hyperlink"/>
                </w:rPr>
                <w:t xml:space="preserve">Indigenous primary health care data collection</w:t>
              </w:r>
            </w:hyperlink>
          </w:p>
          <w:p>
            <w:r>
              <w:rPr>
                <w:rStyle w:val="row-content"/>
                <w:b/>
              </w:rPr>
              <w:t xml:space="preserve">NMDS / DSS</w:t>
            </w:r>
          </w:p>
          <w:p>
            <w:hyperlink w:history="true" r:id="R89f484e2e5f24cc6">
              <w:r>
                <w:rPr>
                  <w:rStyle w:val="Hyperlink"/>
                </w:rPr>
                <w:t xml:space="preserve">Indigenous primary health care NBEDS 2020–21</w:t>
              </w:r>
            </w:hyperlink>
          </w:p>
          <w:p>
            <w:r>
              <w:rPr>
                <w:rStyle w:val="row-content"/>
                <w:b/>
              </w:rPr>
              <w:t xml:space="preserve">Guide for use</w:t>
            </w:r>
          </w:p>
          <w:p>
            <w:r>
              <w:rPr>
                <w:rStyle w:val="row-content"/>
              </w:rPr>
              <w:t xml:space="preserve">Only include 'no' responses, i.e. those persons who do not have a cardiovascular disease recorded on their clinical record.</w:t>
            </w:r>
          </w:p>
          <w:p>
            <w:r>
              <w:rPr>
                <w:rStyle w:val="row-content"/>
              </w:rPr>
              <w:t xml:space="preserve"> </w:t>
            </w:r>
          </w:p>
          <w:p>
            <w:r>
              <w:rPr>
                <w:rStyle w:val="row-content"/>
                <w:b/>
                <w:color w:val="000000"/>
              </w:rPr>
              <w:t xml:space="preserve">Data Element / Data Set</w:t>
            </w:r>
          </w:p>
          <w:p>
            <w:hyperlink w:history="true" r:id="Rfbb343162c1b49fa">
              <w:r>
                <w:rPr>
                  <w:rStyle w:val="Hyperlink"/>
                </w:rPr>
                <w:t xml:space="preserve">Person—Indigenous status, code N</w:t>
              </w:r>
            </w:hyperlink>
          </w:p>
          <w:p>
            <w:r>
              <w:rPr>
                <w:rStyle w:val="row-content"/>
                <w:b/>
              </w:rPr>
              <w:t xml:space="preserve">Data Source</w:t>
            </w:r>
          </w:p>
          <w:p>
            <w:hyperlink w:history="true" r:id="R94dc788277904db9">
              <w:r>
                <w:rPr>
                  <w:rStyle w:val="Hyperlink"/>
                </w:rPr>
                <w:t xml:space="preserve">Indigenous primary health care data collection</w:t>
              </w:r>
            </w:hyperlink>
          </w:p>
          <w:p>
            <w:r>
              <w:rPr>
                <w:rStyle w:val="row-content"/>
                <w:b/>
              </w:rPr>
              <w:t xml:space="preserve">NMDS / DSS</w:t>
            </w:r>
          </w:p>
          <w:p>
            <w:hyperlink w:history="true" r:id="Rb74cde6104bb462e">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ab18057616854cb8">
              <w:r>
                <w:rPr>
                  <w:rStyle w:val="Hyperlink"/>
                </w:rPr>
                <w:t xml:space="preserve">Person—regular client indicator, yes/no code N</w:t>
              </w:r>
            </w:hyperlink>
          </w:p>
          <w:p>
            <w:r>
              <w:rPr>
                <w:rStyle w:val="row-content"/>
                <w:b/>
              </w:rPr>
              <w:t xml:space="preserve">Data Source</w:t>
            </w:r>
          </w:p>
          <w:p>
            <w:hyperlink w:history="true" r:id="Ra3844d7a57f24f70">
              <w:r>
                <w:rPr>
                  <w:rStyle w:val="Hyperlink"/>
                </w:rPr>
                <w:t xml:space="preserve">Indigenous primary health care data collection</w:t>
              </w:r>
            </w:hyperlink>
          </w:p>
          <w:p>
            <w:r>
              <w:rPr>
                <w:rStyle w:val="row-content"/>
                <w:b/>
              </w:rPr>
              <w:t xml:space="preserve">NMDS / DSS</w:t>
            </w:r>
          </w:p>
          <w:p>
            <w:hyperlink w:history="true" r:id="R80ffdefafdde46a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940aaccebb20478f">
              <w:r>
                <w:rPr>
                  <w:rStyle w:val="Hyperlink"/>
                </w:rPr>
                <w:t xml:space="preserve">Person—absolute cardiovascular disease risk assessment result categories, code N</w:t>
              </w:r>
            </w:hyperlink>
          </w:p>
          <w:p>
            <w:r>
              <w:rPr>
                <w:rStyle w:val="row-content"/>
                <w:b/>
              </w:rPr>
              <w:t xml:space="preserve">Data Source</w:t>
            </w:r>
          </w:p>
          <w:p>
            <w:hyperlink w:history="true" r:id="Rb33cfbf673ba4e8a">
              <w:r>
                <w:rPr>
                  <w:rStyle w:val="Hyperlink"/>
                </w:rPr>
                <w:t xml:space="preserve">Indigenous primary health care data collection</w:t>
              </w:r>
            </w:hyperlink>
          </w:p>
          <w:p>
            <w:r>
              <w:rPr>
                <w:rStyle w:val="row-content"/>
                <w:b/>
              </w:rPr>
              <w:t xml:space="preserve">NMDS / DSS</w:t>
            </w:r>
          </w:p>
          <w:p>
            <w:hyperlink w:history="true" r:id="R37b14e1da25c423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14efcbc9c2934140">
              <w:r>
                <w:rPr>
                  <w:rStyle w:val="Hyperlink"/>
                </w:rPr>
                <w:t xml:space="preserve">Person—absolute cardiovascular disease risk assessment result recorded indicator, yes/no code N</w:t>
              </w:r>
            </w:hyperlink>
          </w:p>
          <w:p>
            <w:r>
              <w:rPr>
                <w:rStyle w:val="row-content"/>
                <w:b/>
              </w:rPr>
              <w:t xml:space="preserve">Data Source</w:t>
            </w:r>
          </w:p>
          <w:p>
            <w:hyperlink w:history="true" r:id="Rbe13d407db56460f">
              <w:r>
                <w:rPr>
                  <w:rStyle w:val="Hyperlink"/>
                </w:rPr>
                <w:t xml:space="preserve">Indigenous primary health care data collection</w:t>
              </w:r>
            </w:hyperlink>
          </w:p>
          <w:p>
            <w:r>
              <w:rPr>
                <w:rStyle w:val="row-content"/>
                <w:b/>
              </w:rPr>
              <w:t xml:space="preserve">NMDS / DSS</w:t>
            </w:r>
          </w:p>
          <w:p>
            <w:hyperlink w:history="true" r:id="Rb39bdda88fd6480f">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35–44 years</w:t>
            </w:r>
            <w:r>
              <w:br/>
            </w:r>
            <w:r>
              <w:rPr>
                <w:rStyle w:val="row-content-rich-text"/>
              </w:rPr>
              <w:t xml:space="preserve">b) 45–54 years</w:t>
            </w:r>
            <w:r>
              <w:br/>
            </w:r>
            <w:r>
              <w:rPr>
                <w:rStyle w:val="row-content-rich-text"/>
              </w:rPr>
              <w:t xml:space="preserve">c) 55–64 years</w:t>
            </w:r>
            <w:r>
              <w:br/>
            </w:r>
            <w:r>
              <w:rPr>
                <w:rStyle w:val="row-content-rich-text"/>
              </w:rPr>
              <w:t xml:space="preserve">d) 65–74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c340d798a74411b">
              <w:r>
                <w:rPr>
                  <w:rStyle w:val="Hyperlink"/>
                </w:rPr>
                <w:t xml:space="preserve">Person—age, total years N[NN]</w:t>
              </w:r>
            </w:hyperlink>
          </w:p>
          <w:p>
            <w:r>
              <w:rPr>
                <w:rStyle w:val="row-content"/>
                <w:b/>
              </w:rPr>
              <w:t xml:space="preserve">Data Source</w:t>
            </w:r>
          </w:p>
          <w:p>
            <w:hyperlink w:history="true" r:id="Rd2639668ddf849af">
              <w:r>
                <w:rPr>
                  <w:rStyle w:val="Hyperlink"/>
                </w:rPr>
                <w:t xml:space="preserve">Indigenous primary health care data collection</w:t>
              </w:r>
            </w:hyperlink>
          </w:p>
          <w:p>
            <w:r>
              <w:rPr>
                <w:rStyle w:val="row-content"/>
                <w:b/>
              </w:rPr>
              <w:t xml:space="preserve">NMDS / DSS</w:t>
            </w:r>
          </w:p>
          <w:p>
            <w:hyperlink w:history="true" r:id="Rb51a3330918e4bbf">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0bd7b9f24dcb4967">
              <w:r>
                <w:rPr>
                  <w:rStyle w:val="Hyperlink"/>
                </w:rPr>
                <w:t xml:space="preserve">Person—sex, code X</w:t>
              </w:r>
            </w:hyperlink>
          </w:p>
          <w:p>
            <w:r>
              <w:rPr>
                <w:rStyle w:val="row-content"/>
                <w:b/>
              </w:rPr>
              <w:t xml:space="preserve">Data Source</w:t>
            </w:r>
          </w:p>
          <w:p>
            <w:hyperlink w:history="true" r:id="R02a46f3b42fe4e8e">
              <w:r>
                <w:rPr>
                  <w:rStyle w:val="Hyperlink"/>
                </w:rPr>
                <w:t xml:space="preserve">Indigenous primary health care data collection</w:t>
              </w:r>
            </w:hyperlink>
          </w:p>
          <w:p>
            <w:r>
              <w:rPr>
                <w:rStyle w:val="row-content"/>
                <w:b/>
              </w:rPr>
              <w:t xml:space="preserve">NMDS / DSS</w:t>
            </w:r>
          </w:p>
          <w:p>
            <w:hyperlink w:history="true" r:id="Re4c738c21b864229">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4"/>
              </w:numPr>
            </w:pPr>
            <w:r>
              <w:rPr>
                <w:rStyle w:val="row-content-rich-text"/>
              </w:rPr>
              <w:t xml:space="preserve">Indigenous primary health care NBEDS 2019–20 covers the period 01/01/2020 to 30/06/2020</w:t>
            </w:r>
          </w:p>
          <w:p>
            <w:pPr>
              <w:pStyle w:val="ListParagraph"/>
              <w:numPr>
                <w:ilvl w:val="0"/>
                <w:numId w:val="4"/>
              </w:numPr>
            </w:pPr>
            <w:r>
              <w:rPr>
                <w:rStyle w:val="row-content-rich-text"/>
              </w:rPr>
              <w:t xml:space="preserve">Indigenous primary health care NBEDS 2020–21 covers the period 01/07/2020 to 30/06/2021</w:t>
            </w:r>
          </w:p>
          <w:p>
            <w:pPr>
              <w:pStyle w:val="ListParagraph"/>
              <w:numPr>
                <w:ilvl w:val="0"/>
                <w:numId w:val="4"/>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0cf52fe77a3445d3">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2241ec4c8ccc43c7">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0842927fc48b46e0">
              <w:r>
                <w:rPr>
                  <w:rStyle w:val="Hyperlink"/>
                </w:rPr>
                <w:t xml:space="preserve">Indigenous primary health care: PI21a-Number of regular clients aged 35 to 74 years who have had an absolute cardiovascular disease (CVD) risk assessment with results within specified levels, 2018-2019</w:t>
              </w:r>
            </w:hyperlink>
          </w:p>
          <w:p>
            <w:pPr>
              <w:pStyle w:val="registration-status"/>
              <w:spacing w:before="0" w:after="0"/>
            </w:pPr>
            <w:hyperlink w:history="true" r:id="Rfab103f361c74b10">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3347bbf102e34825">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7c0f9429fd7a47eb">
              <w:r>
                <w:rPr>
                  <w:rStyle w:val="Hyperlink"/>
                </w:rPr>
                <w:t xml:space="preserve">Indigenous-specific primary health care: PI21a-Number of Indigenous regular clients who have an absolute cardiovascular disease (CVD) risk assessment result within specified levels, December 2020</w:t>
              </w:r>
            </w:hyperlink>
          </w:p>
          <w:p>
            <w:pPr>
              <w:pStyle w:val="registration-status"/>
              <w:spacing w:before="0" w:after="0"/>
            </w:pPr>
            <w:hyperlink w:history="true" r:id="R2d180f7696824070">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46e5995dd4034231">
              <w:r>
                <w:rPr>
                  <w:rStyle w:val="Hyperlink"/>
                </w:rPr>
                <w:t xml:space="preserve">Indigenous primary health care: PI21b-Proportion of regular clients aged 35 to 74 years who have had an absolute cardiovascular disease (CVD) risk assessment with results within specified levels, June 2020</w:t>
              </w:r>
            </w:hyperlink>
          </w:p>
          <w:p>
            <w:pPr>
              <w:pStyle w:val="registration-status"/>
              <w:spacing w:before="0" w:after="0"/>
            </w:pPr>
            <w:hyperlink w:history="true" r:id="R8055a2ec7dc241a1">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61dc80304e304d30">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5e95ae1363a14b5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717352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a5fe33f7aa7c46d8"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5e95ae1363a14b5f" /><Relationship Type="http://schemas.openxmlformats.org/officeDocument/2006/relationships/header" Target="/word/header1.xml" Id="R8fbb0026e14e42fe" /><Relationship Type="http://schemas.openxmlformats.org/officeDocument/2006/relationships/settings" Target="/word/settings.xml" Id="R79b41c640ae446e2" /><Relationship Type="http://schemas.openxmlformats.org/officeDocument/2006/relationships/styles" Target="/word/styles.xml" Id="R4815697d63ed4c4c" /><Relationship Type="http://schemas.openxmlformats.org/officeDocument/2006/relationships/numbering" Target="/word/numbering.xml" Id="Rf109769b56cd464a" /><Relationship Type="http://schemas.openxmlformats.org/officeDocument/2006/relationships/hyperlink" Target="https://meteor.aihw.gov.au/RegistrationAuthority/6" TargetMode="External" Id="R362ef001eea94326" /><Relationship Type="http://schemas.openxmlformats.org/officeDocument/2006/relationships/hyperlink" Target="https://meteor.aihw.gov.au/RegistrationAuthority/12" TargetMode="External" Id="Rc2a4c891ca4e4ad1" /><Relationship Type="http://schemas.openxmlformats.org/officeDocument/2006/relationships/hyperlink" Target="https://meteor.aihw.gov.au/content/717261" TargetMode="External" Id="R32343c4d6c3e460f" /><Relationship Type="http://schemas.openxmlformats.org/officeDocument/2006/relationships/hyperlink" Target="https://meteor.aihw.gov.au/RegistrationAuthority/12" TargetMode="External" Id="Rea9b4250848b4552" /><Relationship Type="http://schemas.openxmlformats.org/officeDocument/2006/relationships/hyperlink" Target="https://meteor.aihw.gov.au/RegistrationAuthority/6" TargetMode="External" Id="Rdd452cf992994e56" /><Relationship Type="http://schemas.openxmlformats.org/officeDocument/2006/relationships/hyperlink" Target="https://meteor.aihw.gov.au/content/396115" TargetMode="External" Id="Ra5ab3c9b54114d2f" /><Relationship Type="http://schemas.openxmlformats.org/officeDocument/2006/relationships/hyperlink" Target="https://meteor.aihw.gov.au/RegistrationAuthority/6" TargetMode="External" Id="R5f2228495c9b4b33" /><Relationship Type="http://schemas.openxmlformats.org/officeDocument/2006/relationships/hyperlink" Target="https://meteor.aihw.gov.au/content/303794" TargetMode="External" Id="R55f0e038a7be4242" /><Relationship Type="http://schemas.openxmlformats.org/officeDocument/2006/relationships/hyperlink" Target="https://meteor.aihw.gov.au/content/430643" TargetMode="External" Id="R4f21b5b3c95049b3" /><Relationship Type="http://schemas.openxmlformats.org/officeDocument/2006/relationships/hyperlink" Target="https://meteor.aihw.gov.au/content/715320" TargetMode="External" Id="Rbc97f996698e48c8" /><Relationship Type="http://schemas.openxmlformats.org/officeDocument/2006/relationships/hyperlink" Target="https://meteor.aihw.gov.au/content/465948" TargetMode="External" Id="Rb01b16bbd13145b0" /><Relationship Type="http://schemas.openxmlformats.org/officeDocument/2006/relationships/hyperlink" Target="https://meteor.aihw.gov.au/content/430643" TargetMode="External" Id="R3e071a96f14a4e50" /><Relationship Type="http://schemas.openxmlformats.org/officeDocument/2006/relationships/hyperlink" Target="https://meteor.aihw.gov.au/content/715320" TargetMode="External" Id="R89f484e2e5f24cc6" /><Relationship Type="http://schemas.openxmlformats.org/officeDocument/2006/relationships/hyperlink" Target="https://meteor.aihw.gov.au/content/602543" TargetMode="External" Id="Rfbb343162c1b49fa" /><Relationship Type="http://schemas.openxmlformats.org/officeDocument/2006/relationships/hyperlink" Target="https://meteor.aihw.gov.au/content/430643" TargetMode="External" Id="R94dc788277904db9" /><Relationship Type="http://schemas.openxmlformats.org/officeDocument/2006/relationships/hyperlink" Target="https://meteor.aihw.gov.au/content/715320" TargetMode="External" Id="Rb74cde6104bb462e" /><Relationship Type="http://schemas.openxmlformats.org/officeDocument/2006/relationships/hyperlink" Target="https://meteor.aihw.gov.au/content/686291" TargetMode="External" Id="Rab18057616854cb8" /><Relationship Type="http://schemas.openxmlformats.org/officeDocument/2006/relationships/hyperlink" Target="https://meteor.aihw.gov.au/content/430643" TargetMode="External" Id="Ra3844d7a57f24f70" /><Relationship Type="http://schemas.openxmlformats.org/officeDocument/2006/relationships/hyperlink" Target="https://meteor.aihw.gov.au/content/715320" TargetMode="External" Id="R80ffdefafdde46ab" /><Relationship Type="http://schemas.openxmlformats.org/officeDocument/2006/relationships/hyperlink" Target="https://meteor.aihw.gov.au/content/699029" TargetMode="External" Id="R940aaccebb20478f" /><Relationship Type="http://schemas.openxmlformats.org/officeDocument/2006/relationships/hyperlink" Target="https://meteor.aihw.gov.au/content/430643" TargetMode="External" Id="Rb33cfbf673ba4e8a" /><Relationship Type="http://schemas.openxmlformats.org/officeDocument/2006/relationships/hyperlink" Target="https://meteor.aihw.gov.au/content/715320" TargetMode="External" Id="R37b14e1da25c423b" /><Relationship Type="http://schemas.openxmlformats.org/officeDocument/2006/relationships/hyperlink" Target="https://meteor.aihw.gov.au/content/699031" TargetMode="External" Id="R14efcbc9c2934140" /><Relationship Type="http://schemas.openxmlformats.org/officeDocument/2006/relationships/hyperlink" Target="https://meteor.aihw.gov.au/content/430643" TargetMode="External" Id="Rbe13d407db56460f" /><Relationship Type="http://schemas.openxmlformats.org/officeDocument/2006/relationships/hyperlink" Target="https://meteor.aihw.gov.au/content/715320" TargetMode="External" Id="Rb39bdda88fd6480f" /><Relationship Type="http://schemas.openxmlformats.org/officeDocument/2006/relationships/hyperlink" Target="https://meteor.aihw.gov.au/content/303794" TargetMode="External" Id="R7c340d798a74411b" /><Relationship Type="http://schemas.openxmlformats.org/officeDocument/2006/relationships/hyperlink" Target="https://meteor.aihw.gov.au/content/430643" TargetMode="External" Id="Rd2639668ddf849af" /><Relationship Type="http://schemas.openxmlformats.org/officeDocument/2006/relationships/hyperlink" Target="https://meteor.aihw.gov.au/content/715320" TargetMode="External" Id="Rb51a3330918e4bbf" /><Relationship Type="http://schemas.openxmlformats.org/officeDocument/2006/relationships/hyperlink" Target="https://meteor.aihw.gov.au/content/635126" TargetMode="External" Id="R0bd7b9f24dcb4967" /><Relationship Type="http://schemas.openxmlformats.org/officeDocument/2006/relationships/hyperlink" Target="https://meteor.aihw.gov.au/content/430643" TargetMode="External" Id="R02a46f3b42fe4e8e" /><Relationship Type="http://schemas.openxmlformats.org/officeDocument/2006/relationships/hyperlink" Target="https://meteor.aihw.gov.au/content/715320" TargetMode="External" Id="Re4c738c21b864229" /><Relationship Type="http://schemas.openxmlformats.org/officeDocument/2006/relationships/hyperlink" Target="https://meteor.aihw.gov.au/content/410681" TargetMode="External" Id="R0cf52fe77a3445d3" /><Relationship Type="http://schemas.openxmlformats.org/officeDocument/2006/relationships/hyperlink" Target="https://meteor.aihw.gov.au/content/430643" TargetMode="External" Id="R2241ec4c8ccc43c7" /><Relationship Type="http://schemas.openxmlformats.org/officeDocument/2006/relationships/hyperlink" Target="https://meteor.aihw.gov.au/content/688009" TargetMode="External" Id="R0842927fc48b46e0" /><Relationship Type="http://schemas.openxmlformats.org/officeDocument/2006/relationships/hyperlink" Target="https://meteor.aihw.gov.au/RegistrationAuthority/12" TargetMode="External" Id="Rfab103f361c74b10" /><Relationship Type="http://schemas.openxmlformats.org/officeDocument/2006/relationships/hyperlink" Target="https://meteor.aihw.gov.au/RegistrationAuthority/6" TargetMode="External" Id="R3347bbf102e34825" /><Relationship Type="http://schemas.openxmlformats.org/officeDocument/2006/relationships/hyperlink" Target="https://meteor.aihw.gov.au/content/739468" TargetMode="External" Id="R7c0f9429fd7a47eb" /><Relationship Type="http://schemas.openxmlformats.org/officeDocument/2006/relationships/hyperlink" Target="https://meteor.aihw.gov.au/RegistrationAuthority/6" TargetMode="External" Id="R2d180f7696824070" /><Relationship Type="http://schemas.openxmlformats.org/officeDocument/2006/relationships/hyperlink" Target="https://meteor.aihw.gov.au/content/717354" TargetMode="External" Id="R46e5995dd4034231" /><Relationship Type="http://schemas.openxmlformats.org/officeDocument/2006/relationships/hyperlink" Target="https://meteor.aihw.gov.au/RegistrationAuthority/12" TargetMode="External" Id="R8055a2ec7dc241a1" /><Relationship Type="http://schemas.openxmlformats.org/officeDocument/2006/relationships/hyperlink" Target="https://meteor.aihw.gov.au/RegistrationAuthority/6" TargetMode="External" Id="R61dc80304e304d30" /></Relationships>
</file>

<file path=word/_rels/header1.xml.rels>&#65279;<?xml version="1.0" encoding="utf-8"?><Relationships xmlns="http://schemas.openxmlformats.org/package/2006/relationships"><Relationship Type="http://schemas.openxmlformats.org/officeDocument/2006/relationships/image" Target="/media/image.png" Id="Ra5fe33f7aa7c46d8" /></Relationships>
</file>