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98ad6d2ff7034316" /></Relationships>
</file>

<file path=word/document.xml><?xml version="1.0" encoding="utf-8"?>
<w:document xmlns:r="http://schemas.openxmlformats.org/officeDocument/2006/relationships" xmlns:w="http://schemas.openxmlformats.org/wordprocessingml/2006/main">
  <w:body>
    <w:p>
      <w:pPr>
        <w:pStyle w:val="Title"/>
      </w:pPr>
      <w:r>
        <w:t>Indigenous primary health care: PI02b-Proportion of Indigenous babies born within the previous 12 months whose birthweight results were low, normal or high, June 2020</w:t>
      </w:r>
    </w:p>
    <w:p>
      <w:pPr>
        <w:pStyle w:val="Subtitle"/>
      </w:pPr>
      <w:r>
        <w:t>Exported from METEOR</w:t>
      </w:r>
    </w:p>
    <w:p>
      <w:pPr>
        <w:pStyle w:val="Subtitle"/>
        <w:spacing w:after="14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Indigenous primary health care: PI02b-Proportion of Indigenous babies born within the previous 12 months whose birthweight results were low, normal or high, June 2020</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Indicator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type:</w:t>
            </w:r>
          </w:p>
        </w:tc>
        <w:tc>
          <w:tcPr>
            <w:tcBorders>
              <w:top w:val="none" w:color="000000" w:sz="0"/>
              <w:left w:val="none" w:color="000000" w:sz="0"/>
              <w:bottom w:val="none" w:color="000000" w:sz="0"/>
              <w:right w:val="none" w:color="000000" w:sz="0"/>
            </w:tcBorders>
            <w:vAlign w:val="top"/>
          </w:tcPr>
          <w:p>
            <w:r>
              <w:t xml:space="preserve">Indicator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Short name:</w:t>
            </w:r>
          </w:p>
        </w:tc>
        <w:tc>
          <w:tcPr>
            <w:tcBorders>
              <w:top w:val="none" w:color="000000" w:sz="0"/>
              <w:left w:val="none" w:color="000000" w:sz="0"/>
              <w:bottom w:val="none" w:color="000000" w:sz="0"/>
              <w:right w:val="none" w:color="000000" w:sz="0"/>
            </w:tcBorders>
            <w:vAlign w:val="top"/>
          </w:tcPr>
          <w:p>
            <w:r>
              <w:rPr>
                <w:rStyle w:val="alternate-name-indicator"/>
              </w:rPr>
              <w:t xml:space="preserve">PI02b-Proportion of Indigenous babies born within the previous 12 months whose birthweight results were low, normal or high, 2020–2021</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717271</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5151a42c47224b26">
              <w:r>
                <w:rPr>
                  <w:rStyle w:val="Hyperlink"/>
                  <w:color w:val="244061"/>
                </w:rPr>
                <w:t xml:space="preserve">Indigenous</w:t>
              </w:r>
            </w:hyperlink>
            <w:r>
              <w:rPr>
                <w:rStyle w:val="row-content"/>
                <w:color w:val="244061"/>
              </w:rPr>
              <w:t xml:space="preserve">, Superseded 14/07/2021</w:t>
            </w:r>
          </w:p>
          <w:p>
            <w:pPr>
              <w:spacing w:before="0" w:after="0"/>
            </w:pPr>
            <w:hyperlink w:history="true" r:id="Ra9be8bd919474a15">
              <w:r>
                <w:rPr>
                  <w:rStyle w:val="Hyperlink"/>
                  <w:color w:val="244061"/>
                </w:rPr>
                <w:t xml:space="preserve">Health</w:t>
              </w:r>
            </w:hyperlink>
            <w:r>
              <w:rPr>
                <w:rStyle w:val="row-content"/>
                <w:color w:val="244061"/>
              </w:rPr>
              <w:t xml:space="preserve">, Retired 13/10/2021</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Description: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Proportion of Indigenous babies born within the previous 12 months whose birthweight results were categorised as one of the following:</w:t>
            </w:r>
          </w:p>
          <w:p>
            <w:pPr>
              <w:pStyle w:val="ListParagraph"/>
              <w:numPr>
                <w:ilvl w:val="0"/>
                <w:numId w:val="2"/>
              </w:numPr>
            </w:pPr>
            <w:r>
              <w:rPr>
                <w:rStyle w:val="row-content-rich-text"/>
              </w:rPr>
              <w:t xml:space="preserve">Low (less than 2,500 grams)</w:t>
            </w:r>
          </w:p>
          <w:p>
            <w:pPr>
              <w:pStyle w:val="ListParagraph"/>
              <w:numPr>
                <w:ilvl w:val="0"/>
                <w:numId w:val="2"/>
              </w:numPr>
            </w:pPr>
            <w:r>
              <w:rPr>
                <w:rStyle w:val="row-content-rich-text"/>
              </w:rPr>
              <w:t xml:space="preserve">Normal (2,500 grams to less than 4,500 grams)</w:t>
            </w:r>
          </w:p>
          <w:p>
            <w:pPr>
              <w:pStyle w:val="ListParagraph"/>
              <w:numPr>
                <w:ilvl w:val="0"/>
                <w:numId w:val="2"/>
              </w:numPr>
            </w:pPr>
            <w:r>
              <w:rPr>
                <w:rStyle w:val="row-content-rich-text"/>
              </w:rPr>
              <w:t xml:space="preserve">High (4,500 grams and over).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Rationale:</w:t>
            </w:r>
          </w:p>
        </w:tc>
        <w:tc>
          <w:tcPr>
            <w:tcBorders>
              <w:top w:val="none" w:color="000000" w:sz="0"/>
              <w:left w:val="none" w:color="000000" w:sz="0"/>
              <w:bottom w:val="none" w:color="000000" w:sz="0"/>
              <w:right w:val="none" w:color="000000" w:sz="0"/>
            </w:tcBorders>
            <w:vAlign w:val="top"/>
          </w:tcPr>
          <w:p>
            <w:pPr/>
            <w:r>
              <w:rPr>
                <w:rStyle w:val="row-content-rich-text"/>
              </w:rPr>
              <w:t xml:space="preserve">Low birthweight (newborn babies weighing less than 2,500 grams) is associated with an increased risk of ill health and is related to higher mortality within the first year of life. Low birthweight is a particular issue for Indigenous Australians. Recording birthweight encourages the provision of appropriate care to limit the negative associations of low birthweight.</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set:</w:t>
            </w:r>
          </w:p>
        </w:tc>
        <w:tc>
          <w:tcPr>
            <w:tcBorders>
              <w:top w:val="none" w:color="000000" w:sz="0"/>
              <w:left w:val="none" w:color="000000" w:sz="0"/>
              <w:bottom w:val="none" w:color="000000" w:sz="0"/>
              <w:right w:val="none" w:color="000000" w:sz="0"/>
            </w:tcBorders>
            <w:vAlign w:val="top"/>
          </w:tcPr>
          <w:p>
            <w:hyperlink w:history="true" r:id="R7cc902adac0041ac">
              <w:r>
                <w:rPr>
                  <w:rStyle w:val="Hyperlink"/>
                </w:rPr>
                <w:t xml:space="preserve">Indigenous primary health care key performance indicators June 2020</w:t>
              </w:r>
            </w:hyperlink>
          </w:p>
          <w:p>
            <w:pPr>
              <w:pStyle w:val="registration-status"/>
              <w:spacing w:before="0" w:after="0"/>
            </w:pPr>
            <w:hyperlink w:history="true" r:id="R16092d16a8c24e33">
              <w:r>
                <w:rPr>
                  <w:rStyle w:val="Hyperlink"/>
                  <w:color w:val="244061"/>
                </w:rPr>
                <w:t xml:space="preserve">Health</w:t>
              </w:r>
            </w:hyperlink>
            <w:r>
              <w:rPr>
                <w:rStyle w:val="row-content"/>
                <w:color w:val="244061"/>
              </w:rPr>
              <w:t xml:space="preserve">, Retired 13/10/2021</w:t>
            </w:r>
          </w:p>
          <w:p>
            <w:pPr>
              <w:pStyle w:val="registration-status"/>
              <w:spacing w:before="0" w:after="0"/>
            </w:pPr>
            <w:hyperlink w:history="true" r:id="Rcb4f954af9d94b74">
              <w:r>
                <w:rPr>
                  <w:rStyle w:val="Hyperlink"/>
                  <w:color w:val="244061"/>
                </w:rPr>
                <w:t xml:space="preserve">Indigenous</w:t>
              </w:r>
            </w:hyperlink>
            <w:r>
              <w:rPr>
                <w:rStyle w:val="row-content"/>
                <w:color w:val="244061"/>
              </w:rPr>
              <w:t xml:space="preserve">, Superseded 14/07/2021</w:t>
            </w:r>
          </w:p>
          <w:p>
            <w:r>
              <w:br/>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Collection and usage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 description: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Proportion of Indigenous babies born within the previous 12 months whose birthweight results were categorised as one of the following:</w:t>
            </w:r>
          </w:p>
          <w:p>
            <w:pPr>
              <w:pStyle w:val="ListParagraph"/>
              <w:numPr>
                <w:ilvl w:val="0"/>
                <w:numId w:val="3"/>
              </w:numPr>
            </w:pPr>
            <w:r>
              <w:rPr>
                <w:rStyle w:val="row-content-rich-text"/>
              </w:rPr>
              <w:t xml:space="preserve">Low (less than 2,500 grams)</w:t>
            </w:r>
          </w:p>
          <w:p>
            <w:pPr>
              <w:pStyle w:val="ListParagraph"/>
              <w:numPr>
                <w:ilvl w:val="0"/>
                <w:numId w:val="3"/>
              </w:numPr>
            </w:pPr>
            <w:r>
              <w:rPr>
                <w:rStyle w:val="row-content-rich-text"/>
              </w:rPr>
              <w:t xml:space="preserve">Normal (2,500 grams to less than 4,500 grams)</w:t>
            </w:r>
          </w:p>
          <w:p>
            <w:pPr>
              <w:pStyle w:val="ListParagraph"/>
              <w:numPr>
                <w:ilvl w:val="0"/>
                <w:numId w:val="3"/>
              </w:numPr>
            </w:pPr>
            <w:r>
              <w:rPr>
                <w:rStyle w:val="row-content-rich-text"/>
              </w:rPr>
              <w:t xml:space="preserve">High (4,500 grams and over).</w:t>
            </w:r>
          </w:p>
          <w:p>
            <w:pPr>
              <w:spacing w:after="160"/>
            </w:pPr>
            <w:r>
              <w:rPr>
                <w:rStyle w:val="row-content-rich-text"/>
              </w:rPr>
              <w:t xml:space="preserve">Birthweight is defined as the first weight of a baby obtained after birth.</w:t>
            </w:r>
          </w:p>
          <w:p>
            <w:pPr>
              <w:spacing w:after="160"/>
            </w:pPr>
            <w:r>
              <w:rPr>
                <w:rStyle w:val="row-content-rich-text"/>
              </w:rPr>
              <w:t xml:space="preserve">Presented as a percentage.</w:t>
            </w:r>
          </w:p>
          <w:p>
            <w:pPr>
              <w:spacing w:after="160"/>
            </w:pPr>
            <w:r>
              <w:rPr>
                <w:rStyle w:val="row-content-rich-text"/>
              </w:rPr>
              <w:t xml:space="preserve">Calculated separately for each weight range.</w:t>
            </w:r>
          </w:p>
          <w:p>
            <w:pPr>
              <w:spacing w:after="160"/>
            </w:pPr>
            <w:r>
              <w:rPr>
                <w:rStyle w:val="row-content-rich-text"/>
              </w:rPr>
              <w:t xml:space="preserve">Excludes multiple births and stillbirths. Births that are at least 20 weeks gestation or at least 400 grams birthweight are included.</w:t>
            </w:r>
          </w:p>
          <w:p>
            <w:pPr>
              <w:spacing w:after="160"/>
            </w:pPr>
            <w:r>
              <w:rPr>
                <w:rStyle w:val="row-content-rich-text"/>
              </w:rPr>
              <w:t xml:space="preserve">Excludes unknown birthweight and unknown gestational age.</w:t>
            </w:r>
          </w:p>
          <w:p>
            <w:pPr/>
            <w:r>
              <w:rPr>
                <w:rStyle w:val="row-content-rich-text"/>
              </w:rPr>
              <w:t xml:space="preserve">'Previous 12 months' refers to the previous financial year or previous calendar year.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w:t>
            </w:r>
          </w:p>
        </w:tc>
        <w:tc>
          <w:tcPr>
            <w:tcBorders>
              <w:top w:val="none" w:color="000000" w:sz="0"/>
              <w:left w:val="none" w:color="000000" w:sz="0"/>
              <w:bottom w:val="none" w:color="000000" w:sz="0"/>
              <w:right w:val="none" w:color="000000" w:sz="0"/>
            </w:tcBorders>
            <w:vAlign w:val="top"/>
          </w:tcPr>
          <w:p>
            <w:pPr/>
            <w:r>
              <w:rPr>
                <w:rStyle w:val="row-content-rich-text"/>
              </w:rPr>
              <w:t xml:space="preserve">(Numerator ÷ Denominator) x 100</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Calculation A: Number of Indigenous babies born within the previous 12 months whose birthweight was recorded at the primary health-care service with a result categorised as low (less than 2,500 grams).</w:t>
            </w:r>
          </w:p>
          <w:p>
            <w:pPr>
              <w:spacing w:after="160"/>
            </w:pPr>
            <w:r>
              <w:rPr>
                <w:rStyle w:val="row-content-rich-text"/>
              </w:rPr>
              <w:t xml:space="preserve">Calculation B: Number of Indigenous babies born within the previous 12 months whose birthweight was recorded at the primary health-care service with a result categorised as normal (2,500 grams to less than 4,500 grams).</w:t>
            </w:r>
          </w:p>
          <w:p>
            <w:pPr/>
            <w:r>
              <w:rPr>
                <w:rStyle w:val="row-content-rich-text"/>
              </w:rPr>
              <w:t xml:space="preserve">Calculation C: Number of Indigenous babies born within the previous 12 months whose birthweight was recorded at the primary health-care service with a result categorised as high (4,500 grams and over).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c44d6e4efc5044e8">
              <w:r>
                <w:rPr>
                  <w:rStyle w:val="Hyperlink"/>
                </w:rPr>
                <w:t xml:space="preserve">Person—Indigenous status, code N</w:t>
              </w:r>
            </w:hyperlink>
          </w:p>
          <w:p>
            <w:r>
              <w:rPr>
                <w:rStyle w:val="row-content"/>
                <w:b/>
              </w:rPr>
              <w:t xml:space="preserve">Data Source</w:t>
            </w:r>
          </w:p>
          <w:p>
            <w:hyperlink w:history="true" r:id="Rf5866a799e9b4ebe">
              <w:r>
                <w:rPr>
                  <w:rStyle w:val="Hyperlink"/>
                </w:rPr>
                <w:t xml:space="preserve">Indigenous primary health care data collection</w:t>
              </w:r>
            </w:hyperlink>
          </w:p>
          <w:p>
            <w:r>
              <w:rPr>
                <w:rStyle w:val="row-content"/>
                <w:b/>
              </w:rPr>
              <w:t xml:space="preserve">NMDS / DSS</w:t>
            </w:r>
          </w:p>
          <w:p>
            <w:hyperlink w:history="true" r:id="Rbf0ad9ac26324b05">
              <w:r>
                <w:rPr>
                  <w:rStyle w:val="Hyperlink"/>
                </w:rPr>
                <w:t xml:space="preserve">Indigenous primary health care NBEDS 2020–21</w:t>
              </w:r>
            </w:hyperlink>
          </w:p>
          <w:p>
            <w:r>
              <w:rPr>
                <w:rStyle w:val="row-content"/>
                <w:b/>
              </w:rPr>
              <w:t xml:space="preserve">Guide for use</w:t>
            </w:r>
          </w:p>
          <w:p>
            <w:r>
              <w:rPr>
                <w:rStyle w:val="row-content"/>
              </w:rPr>
              <w:t xml:space="preserve">The baby is considered Indigenous if one or both parents identify as Indigenous.</w:t>
            </w:r>
          </w:p>
          <w:p>
            <w:r>
              <w:rPr>
                <w:rStyle w:val="row-content"/>
              </w:rPr>
              <w:t xml:space="preserve"> </w:t>
            </w:r>
          </w:p>
          <w:p>
            <w:r>
              <w:rPr>
                <w:rStyle w:val="row-content"/>
                <w:b/>
                <w:color w:val="000000"/>
              </w:rPr>
              <w:t xml:space="preserve">Data Element / Data Set</w:t>
            </w:r>
          </w:p>
          <w:p>
            <w:hyperlink w:history="true" r:id="R477b9a483d684fb5">
              <w:r>
                <w:rPr>
                  <w:rStyle w:val="Hyperlink"/>
                </w:rPr>
                <w:t xml:space="preserve">Pregnancy—birth plurality, code N</w:t>
              </w:r>
            </w:hyperlink>
          </w:p>
          <w:p>
            <w:r>
              <w:rPr>
                <w:rStyle w:val="row-content"/>
                <w:b/>
              </w:rPr>
              <w:t xml:space="preserve">Data Source</w:t>
            </w:r>
          </w:p>
          <w:p>
            <w:hyperlink w:history="true" r:id="R7505717c708049b4">
              <w:r>
                <w:rPr>
                  <w:rStyle w:val="Hyperlink"/>
                </w:rPr>
                <w:t xml:space="preserve">Indigenous primary health care data collection</w:t>
              </w:r>
            </w:hyperlink>
          </w:p>
          <w:p>
            <w:r>
              <w:rPr>
                <w:rStyle w:val="row-content"/>
                <w:b/>
              </w:rPr>
              <w:t xml:space="preserve">NMDS / DSS</w:t>
            </w:r>
          </w:p>
          <w:p>
            <w:hyperlink w:history="true" r:id="R2d72f213f7b1479b">
              <w:r>
                <w:rPr>
                  <w:rStyle w:val="Hyperlink"/>
                </w:rPr>
                <w:t xml:space="preserve">Indigenous primary health care NBEDS 2020–21</w:t>
              </w:r>
            </w:hyperlink>
          </w:p>
          <w:p>
            <w:r>
              <w:rPr>
                <w:rStyle w:val="row-content"/>
                <w:b/>
              </w:rPr>
              <w:t xml:space="preserve">Guide for use</w:t>
            </w:r>
          </w:p>
          <w:p>
            <w:r>
              <w:rPr>
                <w:rStyle w:val="row-content"/>
              </w:rPr>
              <w:t xml:space="preserve">Only singleton births are included.</w:t>
            </w:r>
          </w:p>
          <w:p>
            <w:r>
              <w:rPr>
                <w:rStyle w:val="row-content"/>
              </w:rPr>
              <w:t xml:space="preserve"> </w:t>
            </w:r>
          </w:p>
          <w:p>
            <w:r>
              <w:rPr>
                <w:rStyle w:val="row-content"/>
                <w:b/>
                <w:color w:val="000000"/>
              </w:rPr>
              <w:t xml:space="preserve">Data Element / Data Set</w:t>
            </w:r>
          </w:p>
          <w:p>
            <w:hyperlink w:history="true" r:id="Rf93d64ce6cbe4eea">
              <w:r>
                <w:rPr>
                  <w:rStyle w:val="Hyperlink"/>
                </w:rPr>
                <w:t xml:space="preserve">Product of birth—birth status, code N</w:t>
              </w:r>
            </w:hyperlink>
          </w:p>
          <w:p>
            <w:r>
              <w:rPr>
                <w:rStyle w:val="row-content"/>
                <w:b/>
              </w:rPr>
              <w:t xml:space="preserve">Data Source</w:t>
            </w:r>
          </w:p>
          <w:p>
            <w:hyperlink w:history="true" r:id="R34f6ae1c5a684353">
              <w:r>
                <w:rPr>
                  <w:rStyle w:val="Hyperlink"/>
                </w:rPr>
                <w:t xml:space="preserve">Indigenous primary health care data collection</w:t>
              </w:r>
            </w:hyperlink>
          </w:p>
          <w:p>
            <w:r>
              <w:rPr>
                <w:rStyle w:val="row-content"/>
                <w:b/>
              </w:rPr>
              <w:t xml:space="preserve">NMDS / DSS</w:t>
            </w:r>
          </w:p>
          <w:p>
            <w:hyperlink w:history="true" r:id="R4f85af8e57044719">
              <w:r>
                <w:rPr>
                  <w:rStyle w:val="Hyperlink"/>
                </w:rPr>
                <w:t xml:space="preserve">Indigenous primary health care NBEDS 2020–21</w:t>
              </w:r>
            </w:hyperlink>
          </w:p>
          <w:p>
            <w:r>
              <w:rPr>
                <w:rStyle w:val="row-content"/>
                <w:b/>
              </w:rPr>
              <w:t xml:space="preserve">Guide for use</w:t>
            </w:r>
          </w:p>
          <w:p>
            <w:r>
              <w:rPr>
                <w:rStyle w:val="row-content"/>
              </w:rPr>
              <w:t xml:space="preserve">Only live births are included.</w:t>
            </w:r>
          </w:p>
          <w:p>
            <w:r>
              <w:rPr>
                <w:rStyle w:val="row-content"/>
              </w:rPr>
              <w:t xml:space="preserve"> </w:t>
            </w:r>
          </w:p>
          <w:p>
            <w:r>
              <w:rPr>
                <w:rStyle w:val="row-content"/>
                <w:b/>
                <w:color w:val="000000"/>
              </w:rPr>
              <w:t xml:space="preserve">Data Element / Data Set</w:t>
            </w:r>
          </w:p>
          <w:p>
            <w:hyperlink w:history="true" r:id="R61d00ebbef74453e">
              <w:r>
                <w:rPr>
                  <w:rStyle w:val="Hyperlink"/>
                </w:rPr>
                <w:t xml:space="preserve">Product of birth—birthweight, code N</w:t>
              </w:r>
            </w:hyperlink>
          </w:p>
          <w:p>
            <w:r>
              <w:rPr>
                <w:rStyle w:val="row-content"/>
                <w:b/>
              </w:rPr>
              <w:t xml:space="preserve">Data Source</w:t>
            </w:r>
          </w:p>
          <w:p>
            <w:hyperlink w:history="true" r:id="R31c6856495e1451a">
              <w:r>
                <w:rPr>
                  <w:rStyle w:val="Hyperlink"/>
                </w:rPr>
                <w:t xml:space="preserve">Indigenous primary health care data collection</w:t>
              </w:r>
            </w:hyperlink>
          </w:p>
          <w:p>
            <w:r>
              <w:rPr>
                <w:rStyle w:val="row-content"/>
                <w:b/>
              </w:rPr>
              <w:t xml:space="preserve">NMDS / DSS</w:t>
            </w:r>
          </w:p>
          <w:p>
            <w:hyperlink w:history="true" r:id="R0e4e80ef110d4c77">
              <w:r>
                <w:rPr>
                  <w:rStyle w:val="Hyperlink"/>
                </w:rPr>
                <w:t xml:space="preserve">Indigenous primary health care NBEDS 2020–21</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Denominator:</w:t>
            </w:r>
          </w:p>
        </w:tc>
        <w:tc>
          <w:tcPr>
            <w:tcBorders>
              <w:top w:val="none" w:color="000000" w:sz="0"/>
              <w:left w:val="none" w:color="000000" w:sz="0"/>
              <w:bottom w:val="none" w:color="000000" w:sz="0"/>
              <w:right w:val="none" w:color="000000" w:sz="0"/>
            </w:tcBorders>
            <w:vAlign w:val="top"/>
          </w:tcPr>
          <w:p>
            <w:pPr/>
            <w:r>
              <w:rPr>
                <w:rStyle w:val="row-content-rich-text"/>
              </w:rPr>
              <w:t xml:space="preserve">Calculation A, B and C: Total number of Indigenous babies born within the previous 12 months whose birthweight has been recorded at the primary health-care service.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Denominator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7a50486376a54544">
              <w:r>
                <w:rPr>
                  <w:rStyle w:val="Hyperlink"/>
                </w:rPr>
                <w:t xml:space="preserve">Person—Indigenous status, code N</w:t>
              </w:r>
            </w:hyperlink>
          </w:p>
          <w:p>
            <w:r>
              <w:rPr>
                <w:rStyle w:val="row-content"/>
                <w:b/>
              </w:rPr>
              <w:t xml:space="preserve">Data Source</w:t>
            </w:r>
          </w:p>
          <w:p>
            <w:hyperlink w:history="true" r:id="R1474d202e51844db">
              <w:r>
                <w:rPr>
                  <w:rStyle w:val="Hyperlink"/>
                </w:rPr>
                <w:t xml:space="preserve">Indigenous primary health care data collection</w:t>
              </w:r>
            </w:hyperlink>
          </w:p>
          <w:p>
            <w:r>
              <w:rPr>
                <w:rStyle w:val="row-content"/>
                <w:b/>
              </w:rPr>
              <w:t xml:space="preserve">NMDS / DSS</w:t>
            </w:r>
          </w:p>
          <w:p>
            <w:hyperlink w:history="true" r:id="R4e40b31aaead4ac3">
              <w:r>
                <w:rPr>
                  <w:rStyle w:val="Hyperlink"/>
                </w:rPr>
                <w:t xml:space="preserve">Indigenous primary health care NBEDS 2020–21</w:t>
              </w:r>
            </w:hyperlink>
          </w:p>
          <w:p>
            <w:r>
              <w:rPr>
                <w:rStyle w:val="row-content"/>
                <w:b/>
              </w:rPr>
              <w:t xml:space="preserve">Guide for use</w:t>
            </w:r>
          </w:p>
          <w:p>
            <w:r>
              <w:rPr>
                <w:rStyle w:val="row-content"/>
              </w:rPr>
              <w:t xml:space="preserve">The baby is considered Indigenous if one or both parents identify as Indigenous.</w:t>
            </w:r>
          </w:p>
          <w:p>
            <w:r>
              <w:rPr>
                <w:rStyle w:val="row-content"/>
              </w:rPr>
              <w:t xml:space="preserve"> </w:t>
            </w:r>
          </w:p>
          <w:p>
            <w:r>
              <w:rPr>
                <w:rStyle w:val="row-content"/>
                <w:b/>
                <w:color w:val="000000"/>
              </w:rPr>
              <w:t xml:space="preserve">Data Element / Data Set</w:t>
            </w:r>
          </w:p>
          <w:p>
            <w:hyperlink w:history="true" r:id="Rc7c0fc169f3046df">
              <w:r>
                <w:rPr>
                  <w:rStyle w:val="Hyperlink"/>
                </w:rPr>
                <w:t xml:space="preserve">Pregnancy—birth plurality, code N</w:t>
              </w:r>
            </w:hyperlink>
          </w:p>
          <w:p>
            <w:r>
              <w:rPr>
                <w:rStyle w:val="row-content"/>
                <w:b/>
              </w:rPr>
              <w:t xml:space="preserve">Data Source</w:t>
            </w:r>
          </w:p>
          <w:p>
            <w:hyperlink w:history="true" r:id="Rf96c25333ee74897">
              <w:r>
                <w:rPr>
                  <w:rStyle w:val="Hyperlink"/>
                </w:rPr>
                <w:t xml:space="preserve">Indigenous primary health care data collection</w:t>
              </w:r>
            </w:hyperlink>
          </w:p>
          <w:p>
            <w:r>
              <w:rPr>
                <w:rStyle w:val="row-content"/>
                <w:b/>
              </w:rPr>
              <w:t xml:space="preserve">NMDS / DSS</w:t>
            </w:r>
          </w:p>
          <w:p>
            <w:hyperlink w:history="true" r:id="Rf797a928d66b4bb6">
              <w:r>
                <w:rPr>
                  <w:rStyle w:val="Hyperlink"/>
                </w:rPr>
                <w:t xml:space="preserve">Indigenous primary health care NBEDS 2020–21</w:t>
              </w:r>
            </w:hyperlink>
          </w:p>
          <w:p>
            <w:r>
              <w:rPr>
                <w:rStyle w:val="row-content"/>
                <w:b/>
              </w:rPr>
              <w:t xml:space="preserve">Guide for use</w:t>
            </w:r>
          </w:p>
          <w:p>
            <w:r>
              <w:rPr>
                <w:rStyle w:val="row-content"/>
              </w:rPr>
              <w:t xml:space="preserve">Only singleton births are included.</w:t>
            </w:r>
          </w:p>
          <w:p>
            <w:r>
              <w:rPr>
                <w:rStyle w:val="row-content"/>
              </w:rPr>
              <w:t xml:space="preserve"> </w:t>
            </w:r>
          </w:p>
          <w:p>
            <w:r>
              <w:rPr>
                <w:rStyle w:val="row-content"/>
                <w:b/>
                <w:color w:val="000000"/>
              </w:rPr>
              <w:t xml:space="preserve">Data Element / Data Set</w:t>
            </w:r>
          </w:p>
          <w:p>
            <w:hyperlink w:history="true" r:id="R127e3c535d794477">
              <w:r>
                <w:rPr>
                  <w:rStyle w:val="Hyperlink"/>
                </w:rPr>
                <w:t xml:space="preserve">Product of birth—birth status, code N</w:t>
              </w:r>
            </w:hyperlink>
          </w:p>
          <w:p>
            <w:r>
              <w:rPr>
                <w:rStyle w:val="row-content"/>
                <w:b/>
              </w:rPr>
              <w:t xml:space="preserve">Data Source</w:t>
            </w:r>
          </w:p>
          <w:p>
            <w:hyperlink w:history="true" r:id="Radf4939c5a034439">
              <w:r>
                <w:rPr>
                  <w:rStyle w:val="Hyperlink"/>
                </w:rPr>
                <w:t xml:space="preserve">Indigenous primary health care data collection</w:t>
              </w:r>
            </w:hyperlink>
          </w:p>
          <w:p>
            <w:r>
              <w:rPr>
                <w:rStyle w:val="row-content"/>
                <w:b/>
              </w:rPr>
              <w:t xml:space="preserve">NMDS / DSS</w:t>
            </w:r>
          </w:p>
          <w:p>
            <w:hyperlink w:history="true" r:id="R5773a010ad2347c1">
              <w:r>
                <w:rPr>
                  <w:rStyle w:val="Hyperlink"/>
                </w:rPr>
                <w:t xml:space="preserve">Indigenous primary health care NBEDS 2020–21</w:t>
              </w:r>
            </w:hyperlink>
          </w:p>
          <w:p>
            <w:r>
              <w:rPr>
                <w:rStyle w:val="row-content"/>
                <w:b/>
              </w:rPr>
              <w:t xml:space="preserve">Guide for use</w:t>
            </w:r>
          </w:p>
          <w:p>
            <w:r>
              <w:rPr>
                <w:rStyle w:val="row-content"/>
              </w:rPr>
              <w:t xml:space="preserve">Only live births are included.</w:t>
            </w:r>
          </w:p>
          <w:p>
            <w:r>
              <w:rPr>
                <w:rStyle w:val="row-content"/>
              </w:rPr>
              <w:t xml:space="preserve"> </w:t>
            </w:r>
          </w:p>
          <w:p>
            <w:r>
              <w:rPr>
                <w:rStyle w:val="row-content"/>
                <w:b/>
                <w:color w:val="000000"/>
              </w:rPr>
              <w:t xml:space="preserve">Data Element / Data Set</w:t>
            </w:r>
          </w:p>
          <w:p>
            <w:hyperlink w:history="true" r:id="Rb0b59a53ced143df">
              <w:r>
                <w:rPr>
                  <w:rStyle w:val="Hyperlink"/>
                </w:rPr>
                <w:t xml:space="preserve">Person—birthweight recorded indicator, yes/no code N</w:t>
              </w:r>
            </w:hyperlink>
          </w:p>
          <w:p>
            <w:r>
              <w:rPr>
                <w:rStyle w:val="row-content"/>
                <w:b/>
              </w:rPr>
              <w:t xml:space="preserve">Data Source</w:t>
            </w:r>
          </w:p>
          <w:p>
            <w:hyperlink w:history="true" r:id="Raceb4f634b1146b5">
              <w:r>
                <w:rPr>
                  <w:rStyle w:val="Hyperlink"/>
                </w:rPr>
                <w:t xml:space="preserve">Indigenous primary health care data collection</w:t>
              </w:r>
            </w:hyperlink>
          </w:p>
          <w:p>
            <w:r>
              <w:rPr>
                <w:rStyle w:val="row-content"/>
                <w:b/>
              </w:rPr>
              <w:t xml:space="preserve">NMDS / DSS</w:t>
            </w:r>
          </w:p>
          <w:p>
            <w:hyperlink w:history="true" r:id="Reaa109b7f04b4cf8">
              <w:r>
                <w:rPr>
                  <w:rStyle w:val="Hyperlink"/>
                </w:rPr>
                <w:t xml:space="preserve">Indigenous primary health care NBEDS 2020–21</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Comments:</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This indicator covers a 24 month reporting period from 1 January 2020 to 31 December 2021:</w:t>
            </w:r>
          </w:p>
          <w:p>
            <w:pPr>
              <w:pStyle w:val="ListParagraph"/>
              <w:numPr>
                <w:ilvl w:val="0"/>
                <w:numId w:val="4"/>
              </w:numPr>
            </w:pPr>
            <w:r>
              <w:rPr>
                <w:rStyle w:val="row-content-rich-text"/>
              </w:rPr>
              <w:t xml:space="preserve">Indigenous primary health care NBEDS 2019–20 covers the period 01/01/2020 to 30/06/2020</w:t>
            </w:r>
          </w:p>
          <w:p>
            <w:pPr>
              <w:pStyle w:val="ListParagraph"/>
              <w:numPr>
                <w:ilvl w:val="0"/>
                <w:numId w:val="4"/>
              </w:numPr>
            </w:pPr>
            <w:r>
              <w:rPr>
                <w:rStyle w:val="row-content-rich-text"/>
              </w:rPr>
              <w:t xml:space="preserve">Indigenous primary health care NBEDS 2020–21 covers the period 01/07/2020 to 30/06/2021</w:t>
            </w:r>
          </w:p>
          <w:p>
            <w:pPr>
              <w:pStyle w:val="ListParagraph"/>
              <w:numPr>
                <w:ilvl w:val="0"/>
                <w:numId w:val="4"/>
              </w:numPr>
            </w:pPr>
            <w:r>
              <w:rPr>
                <w:rStyle w:val="row-content-rich-text"/>
              </w:rPr>
              <w:t xml:space="preserve">Indigenous primary health care NBEDS 2021–22 (to be released) will cover the period 01/07/2021 to 31/12/2021.</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Representational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Representation class:</w:t>
            </w:r>
          </w:p>
        </w:tc>
        <w:tc>
          <w:tcPr>
            <w:tcBorders>
              <w:top w:val="none" w:color="000000" w:sz="0"/>
              <w:left w:val="none" w:color="000000" w:sz="0"/>
              <w:bottom w:val="none" w:color="000000" w:sz="0"/>
              <w:right w:val="none" w:color="000000" w:sz="0"/>
            </w:tcBorders>
            <w:vAlign w:val="top"/>
          </w:tcPr>
          <w:p>
            <w:r>
              <w:t xml:space="preserve">Percentage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type:</w:t>
            </w:r>
          </w:p>
        </w:tc>
        <w:tc>
          <w:tcPr>
            <w:tcBorders>
              <w:top w:val="none" w:color="000000" w:sz="0"/>
              <w:left w:val="none" w:color="000000" w:sz="0"/>
              <w:bottom w:val="none" w:color="000000" w:sz="0"/>
              <w:right w:val="none" w:color="000000" w:sz="0"/>
            </w:tcBorders>
            <w:vAlign w:val="top"/>
          </w:tcPr>
          <w:p>
            <w:r>
              <w:t xml:space="preserve">Real</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Unit of measure:</w:t>
            </w:r>
          </w:p>
        </w:tc>
        <w:tc>
          <w:tcPr>
            <w:tcBorders>
              <w:top w:val="none" w:color="000000" w:sz="0"/>
              <w:left w:val="none" w:color="000000" w:sz="0"/>
              <w:bottom w:val="none" w:color="000000" w:sz="0"/>
              <w:right w:val="none" w:color="000000" w:sz="0"/>
            </w:tcBorders>
            <w:vAlign w:val="top"/>
          </w:tcPr>
          <w:p>
            <w:r>
              <w:t xml:space="preserve">Person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Format:</w:t>
            </w:r>
          </w:p>
        </w:tc>
        <w:tc>
          <w:tcPr>
            <w:tcBorders>
              <w:top w:val="none" w:color="000000" w:sz="0"/>
              <w:left w:val="none" w:color="000000" w:sz="0"/>
              <w:bottom w:val="none" w:color="000000" w:sz="0"/>
              <w:right w:val="none" w:color="000000" w:sz="0"/>
            </w:tcBorders>
            <w:vAlign w:val="top"/>
          </w:tcPr>
          <w:p>
            <w:pPr/>
            <w:r>
              <w:rPr>
                <w:rStyle w:val="row-content-rich-text"/>
              </w:rPr>
              <w:t xml:space="preserve">N[N].N</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Indicator conceptual framework</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Framework and dimensions:</w:t>
            </w:r>
          </w:p>
        </w:tc>
        <w:tc>
          <w:tcPr>
            <w:tcBorders>
              <w:top w:val="none" w:color="000000" w:sz="0"/>
              <w:left w:val="none" w:color="000000" w:sz="0"/>
              <w:bottom w:val="none" w:color="000000" w:sz="0"/>
              <w:right w:val="none" w:color="000000" w:sz="0"/>
            </w:tcBorders>
            <w:vAlign w:val="top"/>
          </w:tcPr>
          <w:p>
            <w:hyperlink w:history="true" r:id="Rbc5a442040584f53">
              <w:r>
                <w:rPr>
                  <w:rStyle w:val="Hyperlink"/>
                </w:rPr>
                <w:t xml:space="preserve">Health Conditions</w:t>
              </w:r>
            </w:hyperlink>
            <w:r>
              <w:br/>
            </w:r>
            <w:r>
              <w:rPr>
                <w:rStyle w:val="row-content"/>
              </w:rPr>
              <w:t xml:space="preserve"> </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Data source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sources: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Source</w:t>
            </w:r>
          </w:p>
          <w:p>
            <w:hyperlink w:history="true" r:id="R99c906bcad4a476e">
              <w:r>
                <w:rPr>
                  <w:rStyle w:val="Hyperlink"/>
                </w:rPr>
                <w:t xml:space="preserve">Indigenous primary health care data collection</w:t>
              </w:r>
            </w:hyperlink>
          </w:p>
          <w:p>
            <w:r>
              <w:rPr>
                <w:rStyle w:val="row-content"/>
                <w:b/>
              </w:rPr>
              <w:t xml:space="preserve">Frequency</w:t>
            </w:r>
          </w:p>
          <w:p>
            <w:r>
              <w:rPr>
                <w:rStyle w:val="row-content"/>
              </w:rPr>
              <w:t xml:space="preserve">6 monthly</w:t>
            </w:r>
          </w:p>
          <w:p>
            <w:r>
              <w:rPr>
                <w:rStyle w:val="row-content"/>
                <w:b/>
              </w:rPr>
              <w:t xml:space="preserve">Data custodian</w:t>
            </w:r>
          </w:p>
          <w:p>
            <w:r>
              <w:rPr>
                <w:rStyle w:val="row-content"/>
              </w:rPr>
              <w:t xml:space="preserve">Australian Institute of Health and Welfare.</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Institute of Health and Welfare</w:t>
            </w:r>
          </w:p>
          <w:p>
            <w:r>
              <w:rPr>
                <w:rStyle w:val="row-content"/>
              </w:rPr>
              <w:t xml:space="preserve">Australian Government Department of Health</w:t>
            </w:r>
          </w:p>
          <w:p>
            <w:r>
              <w:br/>
            </w:r>
          </w:p>
        </w:tc>
      </w:tr>
      <w:tr>
        <w:trPr/>
        <w:tc>
          <w:tcPr>
            <w:gridSpan w:val="2"/>
            <w:tcBorders>
              <w:top w:val="none" w:color="000000" w:sz="0"/>
              <w:left w:val="none" w:color="000000" w:sz="0"/>
              <w:bottom w:val="none" w:color="000000" w:sz="0"/>
              <w:right w:val="none" w:color="000000" w:sz="0"/>
            </w:tcBorders>
            <w:vAlign w:val="top"/>
            <w:tcMar>
              <w:top w:w="300"/>
              <w:bottom w:w="100"/>
            </w:tcMar>
          </w:tcPr>
          <w:p>
            <w:pPr>
              <w:pStyle w:val="Heading2"/>
            </w:pPr>
            <w:r>
              <w:t xml:space="preserve">Relational attributes</w:t>
            </w:r>
            <w:r>
              <w:t xml:space="preserve">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Related metadata references: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Supersedes </w:t>
            </w:r>
            <w:hyperlink w:history="true" r:id="R7fa379d211804bc8">
              <w:r>
                <w:rPr>
                  <w:rStyle w:val="Hyperlink"/>
                </w:rPr>
                <w:t xml:space="preserve">Indigenous primary health care: PI02b-Proportion of Indigenous babies born within the previous 12 months whose birthweight results were low, normal or high, 2018-2019</w:t>
              </w:r>
            </w:hyperlink>
          </w:p>
          <w:p>
            <w:pPr>
              <w:pStyle w:val="registration-status"/>
              <w:spacing w:before="0" w:after="0"/>
            </w:pPr>
            <w:hyperlink w:history="true" r:id="Rd6116964f02841ae">
              <w:r>
                <w:rPr>
                  <w:rStyle w:val="Hyperlink"/>
                  <w:color w:val="244061"/>
                </w:rPr>
                <w:t xml:space="preserve">Health</w:t>
              </w:r>
            </w:hyperlink>
            <w:r>
              <w:rPr>
                <w:rStyle w:val="row-content"/>
                <w:color w:val="244061"/>
              </w:rPr>
              <w:t xml:space="preserve">, Superseded 16/01/2020</w:t>
            </w:r>
          </w:p>
          <w:p>
            <w:pPr>
              <w:pStyle w:val="registration-status"/>
              <w:spacing w:before="0" w:after="0"/>
            </w:pPr>
            <w:hyperlink w:history="true" r:id="R044059e660d54c33">
              <w:r>
                <w:rPr>
                  <w:rStyle w:val="Hyperlink"/>
                  <w:color w:val="244061"/>
                </w:rPr>
                <w:t xml:space="preserve">Indigenous</w:t>
              </w:r>
            </w:hyperlink>
            <w:r>
              <w:rPr>
                <w:rStyle w:val="row-content"/>
                <w:color w:val="244061"/>
              </w:rPr>
              <w:t xml:space="preserve">, Superseded 14/07/2021</w:t>
            </w:r>
          </w:p>
          <w:p>
            <w:r>
              <w:br/>
            </w:r>
            <w:r>
              <w:rPr>
                <w:rStyle w:val="row-content"/>
              </w:rPr>
              <w:t xml:space="preserve">Has been superseded by </w:t>
            </w:r>
            <w:hyperlink w:history="true" r:id="R2e5ccee2fa2843c9">
              <w:r>
                <w:rPr>
                  <w:rStyle w:val="Hyperlink"/>
                </w:rPr>
                <w:t xml:space="preserve">Indigenous-specific primary health care: PI02b-Proportion of Indigenous babies born within the previous 12 months who have a birthweight result within specified categories, December 2020</w:t>
              </w:r>
            </w:hyperlink>
          </w:p>
          <w:p>
            <w:pPr>
              <w:pStyle w:val="registration-status"/>
              <w:spacing w:before="0" w:after="0"/>
            </w:pPr>
            <w:hyperlink w:history="true" r:id="R0aa3dd139c804f8c">
              <w:r>
                <w:rPr>
                  <w:rStyle w:val="Hyperlink"/>
                  <w:color w:val="244061"/>
                </w:rPr>
                <w:t xml:space="preserve">Indigenous</w:t>
              </w:r>
            </w:hyperlink>
            <w:r>
              <w:rPr>
                <w:rStyle w:val="row-content"/>
                <w:color w:val="244061"/>
              </w:rPr>
              <w:t xml:space="preserve">, Superseded 03/07/2022</w:t>
            </w:r>
          </w:p>
          <w:p>
            <w:r>
              <w:br/>
            </w:r>
            <w:r>
              <w:rPr>
                <w:rStyle w:val="row-content"/>
              </w:rPr>
              <w:t xml:space="preserve">See also </w:t>
            </w:r>
            <w:hyperlink w:history="true" r:id="Rdfb7590dfa7e4a3b">
              <w:r>
                <w:rPr>
                  <w:rStyle w:val="Hyperlink"/>
                </w:rPr>
                <w:t xml:space="preserve">Indigenous primary health care: PI02a-Number of Indigenous babies born within the previous 12 months whose birthweight results were low, normal or high, June 2020</w:t>
              </w:r>
            </w:hyperlink>
          </w:p>
          <w:p>
            <w:pPr>
              <w:pStyle w:val="registration-status"/>
              <w:spacing w:before="0" w:after="0"/>
            </w:pPr>
            <w:hyperlink w:history="true" r:id="R7f84c4e665aa4c18">
              <w:r>
                <w:rPr>
                  <w:rStyle w:val="Hyperlink"/>
                  <w:color w:val="244061"/>
                </w:rPr>
                <w:t xml:space="preserve">Health</w:t>
              </w:r>
            </w:hyperlink>
            <w:r>
              <w:rPr>
                <w:rStyle w:val="row-content"/>
                <w:color w:val="244061"/>
              </w:rPr>
              <w:t xml:space="preserve">, Retired 13/10/2021</w:t>
            </w:r>
          </w:p>
          <w:p>
            <w:pPr>
              <w:pStyle w:val="registration-status"/>
              <w:spacing w:before="0" w:after="0"/>
            </w:pPr>
            <w:hyperlink w:history="true" r:id="R9134751507ff47f7">
              <w:r>
                <w:rPr>
                  <w:rStyle w:val="Hyperlink"/>
                  <w:color w:val="244061"/>
                </w:rPr>
                <w:t xml:space="preserve">Indigenous</w:t>
              </w:r>
            </w:hyperlink>
            <w:r>
              <w:rPr>
                <w:rStyle w:val="row-content"/>
                <w:color w:val="244061"/>
              </w:rPr>
              <w:t xml:space="preserve">, Superseded 14/07/2021</w:t>
            </w:r>
          </w:p>
          <w:p>
            <w:r>
              <w:br/>
            </w:r>
          </w:p>
        </w:tc>
      </w:tr>
    </w:tbl>
    <w:p>
      <w:r>
        <w:br/>
      </w:r>
    </w:p>
    <w:sectPr>
      <w:footerReference xmlns:r="http://schemas.openxmlformats.org/officeDocument/2006/relationships" w:type="default" r:id="R39acc2c0ca6b4a48"/>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717271</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40e038f77aec4d51"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name w:val="decimal"/>
    <w:lvl w:ilvl="0">
      <w:start w:val="1"/>
      <w:numFmt w:val="decimal"/>
      <w:lvlText w:val="%1."/>
      <w:pPr>
        <w:ind w:left="420" w:hanging="360"/>
      </w:pPr>
    </w:lvl>
  </w:abstractNum>
  <w:abstractNum w:abstractNumId="1">
    <w:multiLevelType w:val="singleLevel"/>
    <w:name w:val="disc"/>
    <w:lvl w:ilvl="0">
      <w:numFmt w:val="bullet"/>
      <w:lvlText w:val="•"/>
      <w:pPr>
        <w:ind w:left="420" w:hanging="360"/>
      </w:pPr>
    </w:lvl>
  </w:abstractNum>
  <w:abstractNum w:abstractNumId="2">
    <w:multiLevelType w:val="singleLevel"/>
    <w:name w:val="square"/>
    <w:lvl w:ilvl="0">
      <w:numFmt w:val="bullet"/>
      <w:lvlText w:val="▪"/>
      <w:pPr>
        <w:ind w:left="420" w:hanging="360"/>
      </w:pPr>
    </w:lvl>
  </w:abstractNum>
  <w:abstractNum w:abstractNumId="3">
    <w:multiLevelType w:val="singleLevel"/>
    <w:name w:val="circle"/>
    <w:lvl w:ilvl="0">
      <w:numFmt w:val="bullet"/>
      <w:lvlText w:val="o"/>
      <w:pPr>
        <w:ind w:left="420" w:hanging="360"/>
      </w:pPr>
    </w:lvl>
  </w:abstractNum>
  <w:abstractNum w:abstractNumId="4">
    <w:multiLevelType w:val="singleLevel"/>
    <w:name w:val="upper-alpha"/>
    <w:lvl w:ilvl="0">
      <w:start w:val="1"/>
      <w:numFmt w:val="upperLetter"/>
      <w:lvlText w:val="%1."/>
      <w:pPr>
        <w:ind w:left="420" w:hanging="360"/>
      </w:pPr>
    </w:lvl>
  </w:abstractNum>
  <w:abstractNum w:abstractNumId="5">
    <w:multiLevelType w:val="singleLevel"/>
    <w:name w:val="lower-alpha"/>
    <w:lvl w:ilvl="0">
      <w:start w:val="1"/>
      <w:numFmt w:val="lowerLetter"/>
      <w:lvlText w:val="%1."/>
      <w:pPr>
        <w:ind w:left="420" w:hanging="360"/>
      </w:pPr>
    </w:lvl>
  </w:abstractNum>
  <w:abstractNum w:abstractNumId="6">
    <w:multiLevelType w:val="singleLevel"/>
    <w:name w:val="upper-roman"/>
    <w:lvl w:ilvl="0">
      <w:start w:val="1"/>
      <w:numFmt w:val="upperRoman"/>
      <w:lvlText w:val="%1."/>
      <w:pPr>
        <w:ind w:left="420" w:hanging="360"/>
      </w:pPr>
    </w:lvl>
  </w:abstractNum>
  <w:abstractNum w:abstractNumId="7">
    <w:multiLevelType w:val="singleLevel"/>
    <w:name w:val="lower-roman"/>
    <w:lvl w:ilvl="0">
      <w:start w:val="1"/>
      <w:numFmt w:val="lowerRoman"/>
      <w:lvlText w:val="%1."/>
      <w:pPr>
        <w:ind w:left="420" w:hanging="360"/>
      </w:pPr>
    </w:lvl>
  </w:abstractNum>
  <w:abstractNum w:abstractNumId="8">
    <w:multiLevelType w:val="singleLevel"/>
    <w:name w:val="decimal-heading-multi"/>
    <w:lvl w:ilvl="0">
      <w:start w:val="1"/>
      <w:numFmt w:val="decimal"/>
      <w:lvlText w:val="%1."/>
    </w:lvl>
  </w:abstract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bering>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39acc2c0ca6b4a48" /><Relationship Type="http://schemas.openxmlformats.org/officeDocument/2006/relationships/header" Target="/word/header1.xml" Id="R6e55799ce5414c0e" /><Relationship Type="http://schemas.openxmlformats.org/officeDocument/2006/relationships/settings" Target="/word/settings.xml" Id="Rad08073574104ceb" /><Relationship Type="http://schemas.openxmlformats.org/officeDocument/2006/relationships/styles" Target="/word/styles.xml" Id="R74d351e2608d47e4" /><Relationship Type="http://schemas.openxmlformats.org/officeDocument/2006/relationships/numbering" Target="/word/numbering.xml" Id="Ree3745faa77a4f95" /><Relationship Type="http://schemas.openxmlformats.org/officeDocument/2006/relationships/hyperlink" Target="https://meteor.aihw.gov.au/RegistrationAuthority/6" TargetMode="External" Id="R5151a42c47224b26" /><Relationship Type="http://schemas.openxmlformats.org/officeDocument/2006/relationships/hyperlink" Target="https://meteor.aihw.gov.au/RegistrationAuthority/12" TargetMode="External" Id="Ra9be8bd919474a15" /><Relationship Type="http://schemas.openxmlformats.org/officeDocument/2006/relationships/hyperlink" Target="https://meteor.aihw.gov.au/content/717261" TargetMode="External" Id="R7cc902adac0041ac" /><Relationship Type="http://schemas.openxmlformats.org/officeDocument/2006/relationships/hyperlink" Target="https://meteor.aihw.gov.au/RegistrationAuthority/12" TargetMode="External" Id="R16092d16a8c24e33" /><Relationship Type="http://schemas.openxmlformats.org/officeDocument/2006/relationships/hyperlink" Target="https://meteor.aihw.gov.au/RegistrationAuthority/6" TargetMode="External" Id="Rcb4f954af9d94b74" /><Relationship Type="http://schemas.openxmlformats.org/officeDocument/2006/relationships/hyperlink" Target="https://meteor.aihw.gov.au/content/602543" TargetMode="External" Id="Rc44d6e4efc5044e8" /><Relationship Type="http://schemas.openxmlformats.org/officeDocument/2006/relationships/hyperlink" Target="https://meteor.aihw.gov.au/content/430643" TargetMode="External" Id="Rf5866a799e9b4ebe" /><Relationship Type="http://schemas.openxmlformats.org/officeDocument/2006/relationships/hyperlink" Target="https://meteor.aihw.gov.au/content/715320" TargetMode="External" Id="Rbf0ad9ac26324b05" /><Relationship Type="http://schemas.openxmlformats.org/officeDocument/2006/relationships/hyperlink" Target="https://meteor.aihw.gov.au/content/695308" TargetMode="External" Id="R477b9a483d684fb5" /><Relationship Type="http://schemas.openxmlformats.org/officeDocument/2006/relationships/hyperlink" Target="https://meteor.aihw.gov.au/content/430643" TargetMode="External" Id="R7505717c708049b4" /><Relationship Type="http://schemas.openxmlformats.org/officeDocument/2006/relationships/hyperlink" Target="https://meteor.aihw.gov.au/content/715320" TargetMode="External" Id="R2d72f213f7b1479b" /><Relationship Type="http://schemas.openxmlformats.org/officeDocument/2006/relationships/hyperlink" Target="https://meteor.aihw.gov.au/content/695437" TargetMode="External" Id="Rf93d64ce6cbe4eea" /><Relationship Type="http://schemas.openxmlformats.org/officeDocument/2006/relationships/hyperlink" Target="https://meteor.aihw.gov.au/content/430643" TargetMode="External" Id="R34f6ae1c5a684353" /><Relationship Type="http://schemas.openxmlformats.org/officeDocument/2006/relationships/hyperlink" Target="https://meteor.aihw.gov.au/content/715320" TargetMode="External" Id="R4f85af8e57044719" /><Relationship Type="http://schemas.openxmlformats.org/officeDocument/2006/relationships/hyperlink" Target="https://meteor.aihw.gov.au/content/709560" TargetMode="External" Id="R61d00ebbef74453e" /><Relationship Type="http://schemas.openxmlformats.org/officeDocument/2006/relationships/hyperlink" Target="https://meteor.aihw.gov.au/content/430643" TargetMode="External" Id="R31c6856495e1451a" /><Relationship Type="http://schemas.openxmlformats.org/officeDocument/2006/relationships/hyperlink" Target="https://meteor.aihw.gov.au/content/715320" TargetMode="External" Id="R0e4e80ef110d4c77" /><Relationship Type="http://schemas.openxmlformats.org/officeDocument/2006/relationships/hyperlink" Target="https://meteor.aihw.gov.au/content/602543" TargetMode="External" Id="R7a50486376a54544" /><Relationship Type="http://schemas.openxmlformats.org/officeDocument/2006/relationships/hyperlink" Target="https://meteor.aihw.gov.au/content/430643" TargetMode="External" Id="R1474d202e51844db" /><Relationship Type="http://schemas.openxmlformats.org/officeDocument/2006/relationships/hyperlink" Target="https://meteor.aihw.gov.au/content/715320" TargetMode="External" Id="R4e40b31aaead4ac3" /><Relationship Type="http://schemas.openxmlformats.org/officeDocument/2006/relationships/hyperlink" Target="https://meteor.aihw.gov.au/content/695308" TargetMode="External" Id="Rc7c0fc169f3046df" /><Relationship Type="http://schemas.openxmlformats.org/officeDocument/2006/relationships/hyperlink" Target="https://meteor.aihw.gov.au/content/430643" TargetMode="External" Id="Rf96c25333ee74897" /><Relationship Type="http://schemas.openxmlformats.org/officeDocument/2006/relationships/hyperlink" Target="https://meteor.aihw.gov.au/content/715320" TargetMode="External" Id="Rf797a928d66b4bb6" /><Relationship Type="http://schemas.openxmlformats.org/officeDocument/2006/relationships/hyperlink" Target="https://meteor.aihw.gov.au/content/695437" TargetMode="External" Id="R127e3c535d794477" /><Relationship Type="http://schemas.openxmlformats.org/officeDocument/2006/relationships/hyperlink" Target="https://meteor.aihw.gov.au/content/430643" TargetMode="External" Id="Radf4939c5a034439" /><Relationship Type="http://schemas.openxmlformats.org/officeDocument/2006/relationships/hyperlink" Target="https://meteor.aihw.gov.au/content/715320" TargetMode="External" Id="R5773a010ad2347c1" /><Relationship Type="http://schemas.openxmlformats.org/officeDocument/2006/relationships/hyperlink" Target="https://meteor.aihw.gov.au/content/709571" TargetMode="External" Id="Rb0b59a53ced143df" /><Relationship Type="http://schemas.openxmlformats.org/officeDocument/2006/relationships/hyperlink" Target="https://meteor.aihw.gov.au/content/430643" TargetMode="External" Id="Raceb4f634b1146b5" /><Relationship Type="http://schemas.openxmlformats.org/officeDocument/2006/relationships/hyperlink" Target="https://meteor.aihw.gov.au/content/715320" TargetMode="External" Id="Reaa109b7f04b4cf8" /><Relationship Type="http://schemas.openxmlformats.org/officeDocument/2006/relationships/hyperlink" Target="https://meteor.aihw.gov.au/content/410650" TargetMode="External" Id="Rbc5a442040584f53" /><Relationship Type="http://schemas.openxmlformats.org/officeDocument/2006/relationships/hyperlink" Target="https://meteor.aihw.gov.au/content/430643" TargetMode="External" Id="R99c906bcad4a476e" /><Relationship Type="http://schemas.openxmlformats.org/officeDocument/2006/relationships/hyperlink" Target="https://meteor.aihw.gov.au/content/687923" TargetMode="External" Id="R7fa379d211804bc8" /><Relationship Type="http://schemas.openxmlformats.org/officeDocument/2006/relationships/hyperlink" Target="https://meteor.aihw.gov.au/RegistrationAuthority/12" TargetMode="External" Id="Rd6116964f02841ae" /><Relationship Type="http://schemas.openxmlformats.org/officeDocument/2006/relationships/hyperlink" Target="https://meteor.aihw.gov.au/RegistrationAuthority/6" TargetMode="External" Id="R044059e660d54c33" /><Relationship Type="http://schemas.openxmlformats.org/officeDocument/2006/relationships/hyperlink" Target="https://meteor.aihw.gov.au/content/739308" TargetMode="External" Id="R2e5ccee2fa2843c9" /><Relationship Type="http://schemas.openxmlformats.org/officeDocument/2006/relationships/hyperlink" Target="https://meteor.aihw.gov.au/RegistrationAuthority/6" TargetMode="External" Id="R0aa3dd139c804f8c" /><Relationship Type="http://schemas.openxmlformats.org/officeDocument/2006/relationships/hyperlink" Target="https://meteor.aihw.gov.au/content/717269" TargetMode="External" Id="Rdfb7590dfa7e4a3b" /><Relationship Type="http://schemas.openxmlformats.org/officeDocument/2006/relationships/hyperlink" Target="https://meteor.aihw.gov.au/RegistrationAuthority/12" TargetMode="External" Id="R7f84c4e665aa4c18" /><Relationship Type="http://schemas.openxmlformats.org/officeDocument/2006/relationships/hyperlink" Target="https://meteor.aihw.gov.au/RegistrationAuthority/6" TargetMode="External" Id="R9134751507ff47f7" /></Relationships>
</file>

<file path=word/_rels/header1.xml.rels>&#65279;<?xml version="1.0" encoding="utf-8"?><Relationships xmlns="http://schemas.openxmlformats.org/package/2006/relationships"><Relationship Type="http://schemas.openxmlformats.org/officeDocument/2006/relationships/image" Target="/media/image.png" Id="R40e038f77aec4d51" /></Relationships>
</file>