
<file path=[Content_Types].xml><?xml version="1.0" encoding="utf-8"?>
<Types xmlns="http://schemas.openxmlformats.org/package/2006/content-types">
  <Default Extension="xml" ContentType="application/vnd.openxmlformats-officedocument.wordprocessingml.document.main+xml"/>
  <Default Extension="png" ContentType="image/png"/>
  <Default Extension="rels" ContentType="application/vnd.openxmlformats-package.relationships+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72ad4384d34348dd" /></Relationships>
</file>

<file path=word/document.xml><?xml version="1.0" encoding="utf-8"?>
<w:document xmlns:r="http://schemas.openxmlformats.org/officeDocument/2006/relationships" xmlns:w="http://schemas.openxmlformats.org/wordprocessingml/2006/main">
  <w:body>
    <w:p>
      <w:pPr>
        <w:pStyle w:val="Title"/>
      </w:pPr>
      <w:r>
        <w:t>Indigenous primary health care: PI01a-Number of Indigenous babies born within the previous 12 months whose birthweight has been recorded, June 2020</w:t>
      </w:r>
    </w:p>
    <w:p>
      <w:pPr>
        <w:pStyle w:val="Subtitle"/>
      </w:pPr>
      <w:r>
        <w:t>Exported from METEOR</w:t>
      </w:r>
    </w:p>
    <w:p>
      <w:pPr>
        <w:pStyle w:val="Subtitle"/>
        <w:spacing w:after="1400"/>
      </w:pPr>
      <w:r>
        <w:t>(AIHW's Metadata Online Registry)</w:t>
      </w:r>
    </w:p>
    <w:p>
      <w:r>
        <w:t>© Australian Institute of Health and Welfare 2026</w:t>
      </w:r>
    </w:p>
    <w:p>
      <w:r>
        <w:t/>
      </w:r>
    </w:p>
    <w:p>
      <w:r>
        <w:t>This product, excluding the AIHW logo, Commonwealth Coat of Arms and any material owned by a third party or protected by a trademark, has been released under a Creative Commons BY 4.0 (CC BY 4.0) licence. Excluded material owned by third parties may include, for example, design and layout, images obtained under licence from third parties and signatures. We have made all reasonable efforts to identify and label material owned by third parties.</w:t>
      </w:r>
    </w:p>
    <w:p>
      <w:r>
        <w:t>You may distribute, remix and build on this website’s material but must attribute the AIHW as the copyright holder, in line with our attribution policy. The full terms and conditions of this licence are available at https://creativecommons.org/licenses/by/4.0/.</w:t>
      </w:r>
    </w:p>
    <w:p>
      <w:r>
        <w:t>Enquiries relating to copyright should be addressed to info@aihw.gov.au.</w:t>
      </w:r>
    </w:p>
    <w:p>
      <w:r>
        <w:t>Enquiries or comments on the METEOR metadata or download should be directed to the METEOR team at meteor@aihw.gov.au.</w:t>
      </w:r>
    </w:p>
    <w:p>
      <w:r>
        <w:br w:type="page"/>
      </w:r>
    </w:p>
    <w:p>
      <w:pPr>
        <w:pStyle w:val="Heading1"/>
      </w:pPr>
      <w:r>
        <w:t xml:space="preserve">Indigenous primary health care: PI01a-Number of Indigenous babies born within the previous 12 months whose birthweight has been recorded, June 2020</w:t>
      </w:r>
    </w:p>
    <w:tbl>
      <w:tblPr>
        <w:tblStyle w:val="TableGrid"/>
        <w:tblW w:w="5000" w:type="pct"/>
        <w:tblLayout w:type="fixed"/>
      </w:tblPr>
      <w:tblGrid>
        <w:gridCol/>
        <w:gridCol/>
      </w:tblGrid>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Identifying and definitional attributes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Metadata item type:</w:t>
            </w:r>
          </w:p>
        </w:tc>
        <w:tc>
          <w:tcPr>
            <w:tcBorders>
              <w:top w:val="none" w:color="000000" w:sz="0"/>
              <w:left w:val="none" w:color="000000" w:sz="0"/>
              <w:bottom w:val="none" w:color="000000" w:sz="0"/>
              <w:right w:val="none" w:color="000000" w:sz="0"/>
            </w:tcBorders>
            <w:vAlign w:val="top"/>
          </w:tcPr>
          <w:p>
            <w:r>
              <w:t xml:space="preserve">Indicator</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Indicator type:</w:t>
            </w:r>
          </w:p>
        </w:tc>
        <w:tc>
          <w:tcPr>
            <w:tcBorders>
              <w:top w:val="none" w:color="000000" w:sz="0"/>
              <w:left w:val="none" w:color="000000" w:sz="0"/>
              <w:bottom w:val="none" w:color="000000" w:sz="0"/>
              <w:right w:val="none" w:color="000000" w:sz="0"/>
            </w:tcBorders>
            <w:vAlign w:val="top"/>
          </w:tcPr>
          <w:p>
            <w:r>
              <w:t xml:space="preserve">Output measure</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Short name:</w:t>
            </w:r>
          </w:p>
        </w:tc>
        <w:tc>
          <w:tcPr>
            <w:tcBorders>
              <w:top w:val="none" w:color="000000" w:sz="0"/>
              <w:left w:val="none" w:color="000000" w:sz="0"/>
              <w:bottom w:val="none" w:color="000000" w:sz="0"/>
              <w:right w:val="none" w:color="000000" w:sz="0"/>
            </w:tcBorders>
            <w:vAlign w:val="top"/>
          </w:tcPr>
          <w:p>
            <w:r>
              <w:rPr>
                <w:rStyle w:val="alternate-name-indicator"/>
              </w:rPr>
              <w:t xml:space="preserve">PI01a-Number of Indigenous babies born within the previous 12 months whose birthweight has been recorded, 2020–2021</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METEOR identifier:</w:t>
            </w:r>
          </w:p>
        </w:tc>
        <w:tc>
          <w:tcPr>
            <w:tcBorders>
              <w:top w:val="none" w:color="000000" w:sz="0"/>
              <w:left w:val="none" w:color="000000" w:sz="0"/>
              <w:bottom w:val="none" w:color="000000" w:sz="0"/>
              <w:right w:val="none" w:color="000000" w:sz="0"/>
            </w:tcBorders>
            <w:vAlign w:val="top"/>
          </w:tcPr>
          <w:p>
            <w:r>
              <w:t xml:space="preserve">717264</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Registration status:</w:t>
            </w:r>
          </w:p>
        </w:tc>
        <w:tc>
          <w:tcPr>
            <w:tcBorders>
              <w:top w:val="none" w:color="000000" w:sz="0"/>
              <w:left w:val="none" w:color="000000" w:sz="0"/>
              <w:bottom w:val="none" w:color="000000" w:sz="0"/>
              <w:right w:val="none" w:color="000000" w:sz="0"/>
            </w:tcBorders>
            <w:vAlign w:val="top"/>
          </w:tcPr>
          <w:p>
            <w:pPr>
              <w:spacing w:before="0" w:after="0"/>
            </w:pPr>
            <w:hyperlink w:history="true" r:id="R89eaf9c09d194058">
              <w:r>
                <w:rPr>
                  <w:rStyle w:val="Hyperlink"/>
                  <w:color w:val="244061"/>
                </w:rPr>
                <w:t xml:space="preserve">Indigenous</w:t>
              </w:r>
            </w:hyperlink>
            <w:r>
              <w:rPr>
                <w:rStyle w:val="row-content"/>
                <w:color w:val="244061"/>
              </w:rPr>
              <w:t xml:space="preserve">, Superseded 14/07/2021</w:t>
            </w:r>
          </w:p>
          <w:p>
            <w:pPr>
              <w:spacing w:before="0" w:after="0"/>
            </w:pPr>
            <w:hyperlink w:history="true" r:id="R6a408a236c494024">
              <w:r>
                <w:rPr>
                  <w:rStyle w:val="Hyperlink"/>
                  <w:color w:val="244061"/>
                </w:rPr>
                <w:t xml:space="preserve">Health</w:t>
              </w:r>
            </w:hyperlink>
            <w:r>
              <w:rPr>
                <w:rStyle w:val="row-content"/>
                <w:color w:val="244061"/>
              </w:rPr>
              <w:t xml:space="preserve">, Retired 13/10/2021</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Description:</w:t>
            </w:r>
          </w:p>
        </w:tc>
        <w:tc>
          <w:tcPr>
            <w:tcBorders>
              <w:top w:val="none" w:color="000000" w:sz="0"/>
              <w:left w:val="none" w:color="000000" w:sz="0"/>
              <w:bottom w:val="none" w:color="000000" w:sz="0"/>
              <w:right w:val="none" w:color="000000" w:sz="0"/>
            </w:tcBorders>
            <w:vAlign w:val="top"/>
          </w:tcPr>
          <w:p>
            <w:pPr/>
            <w:r>
              <w:rPr>
                <w:rStyle w:val="row-content-rich-text"/>
              </w:rPr>
              <w:t xml:space="preserve">Number of Indigenous babies born within the previous 12 months whose </w:t>
            </w:r>
            <w:hyperlink w:tooltip="The first weight of the fetus or baby obtained after birth. The World Health Organization further defines the following categories:&#10;extremely low birthweight: less than 1,000 grams (up to and including 999 grams),&#10;very low birthweight: less than 1,5..." w:history="true" r:id="R799b8ea5c737459a">
              <w:r>
                <w:rPr>
                  <w:rStyle w:val="Hyperlink"/>
                  <w:b/>
                </w:rPr>
                <w:t xml:space="preserve">birthweight </w:t>
              </w:r>
            </w:hyperlink>
            <w:r>
              <w:rPr>
                <w:rStyle w:val="row-content-rich-text"/>
              </w:rPr>
              <w:t xml:space="preserve">has been recorded at the primary health-care service.</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Rationale:</w:t>
            </w:r>
          </w:p>
        </w:tc>
        <w:tc>
          <w:tcPr>
            <w:tcBorders>
              <w:top w:val="none" w:color="000000" w:sz="0"/>
              <w:left w:val="none" w:color="000000" w:sz="0"/>
              <w:bottom w:val="none" w:color="000000" w:sz="0"/>
              <w:right w:val="none" w:color="000000" w:sz="0"/>
            </w:tcBorders>
            <w:vAlign w:val="top"/>
          </w:tcPr>
          <w:p>
            <w:pPr/>
            <w:r>
              <w:rPr>
                <w:rStyle w:val="row-content-rich-text"/>
              </w:rPr>
              <w:t xml:space="preserve">Low birthweight (newborn babies weighing less than 2,500 grams) is associated with an increased risk of ill health and is related to higher mortality within the first year of life. Low birthweight is a particular issue for Indigenous Australians. Recording birthweight encourages the provision of appropriate care to limit the negative associations of low birthweight.</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Indicator set:</w:t>
            </w:r>
          </w:p>
        </w:tc>
        <w:tc>
          <w:tcPr>
            <w:tcBorders>
              <w:top w:val="none" w:color="000000" w:sz="0"/>
              <w:left w:val="none" w:color="000000" w:sz="0"/>
              <w:bottom w:val="none" w:color="000000" w:sz="0"/>
              <w:right w:val="none" w:color="000000" w:sz="0"/>
            </w:tcBorders>
            <w:vAlign w:val="top"/>
          </w:tcPr>
          <w:p>
            <w:hyperlink w:history="true" r:id="R9a7e2f2829e645fd">
              <w:r>
                <w:rPr>
                  <w:rStyle w:val="Hyperlink"/>
                </w:rPr>
                <w:t xml:space="preserve">Indigenous primary health care key performance indicators June 2020</w:t>
              </w:r>
            </w:hyperlink>
          </w:p>
          <w:p>
            <w:pPr>
              <w:pStyle w:val="registration-status"/>
              <w:spacing w:before="0" w:after="0"/>
            </w:pPr>
            <w:hyperlink w:history="true" r:id="R832024ed6b8a4f45">
              <w:r>
                <w:rPr>
                  <w:rStyle w:val="Hyperlink"/>
                  <w:color w:val="244061"/>
                </w:rPr>
                <w:t xml:space="preserve">Health</w:t>
              </w:r>
            </w:hyperlink>
            <w:r>
              <w:rPr>
                <w:rStyle w:val="row-content"/>
                <w:color w:val="244061"/>
              </w:rPr>
              <w:t xml:space="preserve">, Retired 13/10/2021</w:t>
            </w:r>
          </w:p>
          <w:p>
            <w:pPr>
              <w:pStyle w:val="registration-status"/>
              <w:spacing w:before="0" w:after="0"/>
            </w:pPr>
            <w:hyperlink w:history="true" r:id="R95f075d1de6a4784">
              <w:r>
                <w:rPr>
                  <w:rStyle w:val="Hyperlink"/>
                  <w:color w:val="244061"/>
                </w:rPr>
                <w:t xml:space="preserve">Indigenous</w:t>
              </w:r>
            </w:hyperlink>
            <w:r>
              <w:rPr>
                <w:rStyle w:val="row-content"/>
                <w:color w:val="244061"/>
              </w:rPr>
              <w:t xml:space="preserve">, Superseded 14/07/2021</w:t>
            </w:r>
          </w:p>
          <w:p>
            <w:r>
              <w:br/>
            </w:r>
          </w:p>
        </w:tc>
      </w:tr>
    </w:tbl>
    <w:p/>
    <w:tbl>
      <w:tblPr>
        <w:tblStyle w:val="TableGrid"/>
        <w:tblW w:w="5000" w:type="pct"/>
        <w:tblLayout w:type="fixed"/>
      </w:tblPr>
      <w:tblGrid>
        <w:gridCol/>
        <w:gridCol/>
      </w:tblGrid>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Collection and usage attributes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Computation description:</w:t>
            </w:r>
          </w:p>
        </w:tc>
        <w:tc>
          <w:tcPr>
            <w:tcBorders>
              <w:top w:val="none" w:color="000000" w:sz="0"/>
              <w:left w:val="none" w:color="000000" w:sz="0"/>
              <w:bottom w:val="none" w:color="000000" w:sz="0"/>
              <w:right w:val="none" w:color="000000" w:sz="0"/>
            </w:tcBorders>
            <w:vAlign w:val="top"/>
          </w:tcPr>
          <w:p>
            <w:pPr>
              <w:spacing w:after="160"/>
            </w:pPr>
            <w:r>
              <w:rPr>
                <w:rStyle w:val="row-content-rich-text"/>
              </w:rPr>
              <w:t xml:space="preserve">Count of Indigenous babies born within the previous 12 months whose birthweight has been recorded at the primary health-care service.</w:t>
            </w:r>
          </w:p>
          <w:p>
            <w:pPr>
              <w:spacing w:after="160"/>
            </w:pPr>
            <w:r>
              <w:rPr>
                <w:rStyle w:val="row-content-rich-text"/>
              </w:rPr>
              <w:t xml:space="preserve">Birthweight is defined as the first weight of a baby obtained after birth.</w:t>
            </w:r>
          </w:p>
          <w:p>
            <w:pPr>
              <w:spacing w:after="160"/>
            </w:pPr>
            <w:r>
              <w:rPr>
                <w:rStyle w:val="row-content-rich-text"/>
              </w:rPr>
              <w:t xml:space="preserve">Only live births are included.</w:t>
            </w:r>
          </w:p>
          <w:p>
            <w:pPr>
              <w:spacing w:after="160"/>
            </w:pPr>
            <w:r>
              <w:rPr>
                <w:rStyle w:val="row-content-rich-text"/>
              </w:rPr>
              <w:t xml:space="preserve">Results arising from measurements conducted outside of the service, that are known by the service, are included in the calculation of this indicator.</w:t>
            </w:r>
          </w:p>
          <w:p>
            <w:pPr>
              <w:spacing w:after="160"/>
            </w:pPr>
            <w:r>
              <w:rPr>
                <w:rStyle w:val="row-content-rich-text"/>
              </w:rPr>
              <w:t xml:space="preserve">Presented as a number.</w:t>
            </w:r>
          </w:p>
          <w:p>
            <w:pPr/>
            <w:r>
              <w:rPr>
                <w:rStyle w:val="row-content-rich-text"/>
              </w:rPr>
              <w:t xml:space="preserve">'Previous 12 months' refers to the previous financial year or previous calendar year.</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Computation:</w:t>
            </w:r>
          </w:p>
        </w:tc>
        <w:tc>
          <w:tcPr>
            <w:tcBorders>
              <w:top w:val="none" w:color="000000" w:sz="0"/>
              <w:left w:val="none" w:color="000000" w:sz="0"/>
              <w:bottom w:val="none" w:color="000000" w:sz="0"/>
              <w:right w:val="none" w:color="000000" w:sz="0"/>
            </w:tcBorders>
            <w:vAlign w:val="top"/>
          </w:tcPr>
          <w:p>
            <w:pPr/>
            <w:r>
              <w:rPr>
                <w:rStyle w:val="row-content-rich-text"/>
              </w:rPr>
              <w:t xml:space="preserve">Numerator only.</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Numerator:</w:t>
            </w:r>
          </w:p>
        </w:tc>
        <w:tc>
          <w:tcPr>
            <w:tcBorders>
              <w:top w:val="none" w:color="000000" w:sz="0"/>
              <w:left w:val="none" w:color="000000" w:sz="0"/>
              <w:bottom w:val="none" w:color="000000" w:sz="0"/>
              <w:right w:val="none" w:color="000000" w:sz="0"/>
            </w:tcBorders>
            <w:vAlign w:val="top"/>
          </w:tcPr>
          <w:p>
            <w:pPr/>
            <w:r>
              <w:rPr>
                <w:rStyle w:val="row-content-rich-text"/>
              </w:rPr>
              <w:t xml:space="preserve">Number of Indigenous babies born within the previous 12 months whose birthweight has been recorded at the primary health-care service.</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Numerator data elements:</w:t>
            </w:r>
          </w:p>
        </w:tc>
        <w:tc>
          <w:tcPr>
            <w:tcW w:w="3750" w:type="pct"/>
            <w:tcBorders>
              <w:top w:val="none" w:color="000000" w:sz="0"/>
              <w:left w:val="none" w:color="000000" w:sz="0"/>
              <w:bottom w:val="none" w:color="000000" w:sz="0"/>
              <w:right w:val="none" w:color="000000" w:sz="0"/>
            </w:tcBorders>
            <w:vAlign w:val="top"/>
            <w:tcMar>
              <w:top w:w="100"/>
              <w:bottom w:w="100"/>
            </w:tcMar>
          </w:tcPr>
          <w:p>
            <w:r>
              <w:rPr>
                <w:rStyle w:val="row-content"/>
                <w:b/>
                <w:color w:val="000000"/>
              </w:rPr>
              <w:t xml:space="preserve">Data Element / Data Set</w:t>
            </w:r>
          </w:p>
          <w:p>
            <w:hyperlink w:history="true" r:id="R68a924c802194535">
              <w:r>
                <w:rPr>
                  <w:rStyle w:val="Hyperlink"/>
                </w:rPr>
                <w:t xml:space="preserve">Person—Indigenous status, code N</w:t>
              </w:r>
            </w:hyperlink>
          </w:p>
          <w:p>
            <w:r>
              <w:rPr>
                <w:rStyle w:val="row-content"/>
                <w:b/>
              </w:rPr>
              <w:t xml:space="preserve">Data Source</w:t>
            </w:r>
          </w:p>
          <w:p>
            <w:hyperlink w:history="true" r:id="R43f3514b16654dd2">
              <w:r>
                <w:rPr>
                  <w:rStyle w:val="Hyperlink"/>
                </w:rPr>
                <w:t xml:space="preserve">Indigenous primary health care data collection</w:t>
              </w:r>
            </w:hyperlink>
          </w:p>
          <w:p>
            <w:r>
              <w:rPr>
                <w:rStyle w:val="row-content"/>
                <w:b/>
              </w:rPr>
              <w:t xml:space="preserve">NMDS / DSS</w:t>
            </w:r>
          </w:p>
          <w:p>
            <w:hyperlink w:history="true" r:id="R4573d3ab5fac4aa7">
              <w:r>
                <w:rPr>
                  <w:rStyle w:val="Hyperlink"/>
                </w:rPr>
                <w:t xml:space="preserve">Indigenous primary health care NBEDS 2020–21</w:t>
              </w:r>
            </w:hyperlink>
          </w:p>
          <w:p>
            <w:r>
              <w:rPr>
                <w:rStyle w:val="row-content"/>
                <w:b/>
              </w:rPr>
              <w:t xml:space="preserve">Guide for use</w:t>
            </w:r>
          </w:p>
          <w:p>
            <w:r>
              <w:rPr>
                <w:rStyle w:val="row-content"/>
              </w:rPr>
              <w:t xml:space="preserve">The baby is considered Indigenous if one or both parents identify as Indigenous.</w:t>
            </w:r>
          </w:p>
          <w:p>
            <w:r>
              <w:rPr>
                <w:rStyle w:val="row-content"/>
              </w:rPr>
              <w:t xml:space="preserve"> </w:t>
            </w:r>
          </w:p>
          <w:p>
            <w:r>
              <w:rPr>
                <w:rStyle w:val="row-content"/>
                <w:b/>
                <w:color w:val="000000"/>
              </w:rPr>
              <w:t xml:space="preserve">Data Element / Data Set</w:t>
            </w:r>
          </w:p>
          <w:p>
            <w:hyperlink w:history="true" r:id="Rfa9e032b71174747">
              <w:r>
                <w:rPr>
                  <w:rStyle w:val="Hyperlink"/>
                </w:rPr>
                <w:t xml:space="preserve">Product of birth—birth status, code N</w:t>
              </w:r>
            </w:hyperlink>
          </w:p>
          <w:p>
            <w:r>
              <w:rPr>
                <w:rStyle w:val="row-content"/>
                <w:b/>
              </w:rPr>
              <w:t xml:space="preserve">Data Source</w:t>
            </w:r>
          </w:p>
          <w:p>
            <w:hyperlink w:history="true" r:id="R805e4b55d37049a1">
              <w:r>
                <w:rPr>
                  <w:rStyle w:val="Hyperlink"/>
                </w:rPr>
                <w:t xml:space="preserve">Indigenous primary health care data collection</w:t>
              </w:r>
            </w:hyperlink>
          </w:p>
          <w:p>
            <w:r>
              <w:rPr>
                <w:rStyle w:val="row-content"/>
                <w:b/>
              </w:rPr>
              <w:t xml:space="preserve">NMDS / DSS</w:t>
            </w:r>
          </w:p>
          <w:p>
            <w:hyperlink w:history="true" r:id="R150c9e7fd62e4233">
              <w:r>
                <w:rPr>
                  <w:rStyle w:val="Hyperlink"/>
                </w:rPr>
                <w:t xml:space="preserve">Indigenous primary health care NBEDS 2020–21</w:t>
              </w:r>
            </w:hyperlink>
          </w:p>
          <w:p>
            <w:r>
              <w:rPr>
                <w:rStyle w:val="row-content"/>
                <w:b/>
              </w:rPr>
              <w:t xml:space="preserve">Guide for use</w:t>
            </w:r>
          </w:p>
          <w:p>
            <w:r>
              <w:rPr>
                <w:rStyle w:val="row-content"/>
              </w:rPr>
              <w:t xml:space="preserve">Only live births are included.</w:t>
            </w:r>
          </w:p>
          <w:p>
            <w:r>
              <w:rPr>
                <w:rStyle w:val="row-content"/>
              </w:rPr>
              <w:t xml:space="preserve"> </w:t>
            </w:r>
          </w:p>
          <w:p>
            <w:r>
              <w:rPr>
                <w:rStyle w:val="row-content"/>
                <w:b/>
                <w:color w:val="000000"/>
              </w:rPr>
              <w:t xml:space="preserve">Data Element / Data Set</w:t>
            </w:r>
          </w:p>
          <w:p>
            <w:hyperlink w:history="true" r:id="R6efee4c2d26943b3">
              <w:r>
                <w:rPr>
                  <w:rStyle w:val="Hyperlink"/>
                </w:rPr>
                <w:t xml:space="preserve">Person—birthweight recorded indicator, yes/no code N</w:t>
              </w:r>
            </w:hyperlink>
          </w:p>
          <w:p>
            <w:r>
              <w:rPr>
                <w:rStyle w:val="row-content"/>
                <w:b/>
              </w:rPr>
              <w:t xml:space="preserve">Data Source</w:t>
            </w:r>
          </w:p>
          <w:p>
            <w:hyperlink w:history="true" r:id="Rf262232eb77f4e80">
              <w:r>
                <w:rPr>
                  <w:rStyle w:val="Hyperlink"/>
                </w:rPr>
                <w:t xml:space="preserve">Indigenous primary health care data collection</w:t>
              </w:r>
            </w:hyperlink>
          </w:p>
          <w:p>
            <w:r>
              <w:rPr>
                <w:rStyle w:val="row-content"/>
                <w:b/>
              </w:rPr>
              <w:t xml:space="preserve">NMDS / DSS</w:t>
            </w:r>
          </w:p>
          <w:p>
            <w:hyperlink w:history="true" r:id="R4f4bc17f9dc94331">
              <w:r>
                <w:rPr>
                  <w:rStyle w:val="Hyperlink"/>
                </w:rPr>
                <w:t xml:space="preserve">Indigenous primary health care NBEDS 2020–21</w:t>
              </w:r>
            </w:hyperlink>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Comments:</w:t>
            </w:r>
          </w:p>
        </w:tc>
        <w:tc>
          <w:tcPr>
            <w:tcBorders>
              <w:top w:val="none" w:color="000000" w:sz="0"/>
              <w:left w:val="none" w:color="000000" w:sz="0"/>
              <w:bottom w:val="none" w:color="000000" w:sz="0"/>
              <w:right w:val="none" w:color="000000" w:sz="0"/>
            </w:tcBorders>
            <w:vAlign w:val="top"/>
          </w:tcPr>
          <w:p>
            <w:pPr>
              <w:spacing w:after="160"/>
            </w:pPr>
            <w:r>
              <w:rPr>
                <w:rStyle w:val="row-content-rich-text"/>
              </w:rPr>
              <w:t xml:space="preserve">This indicator covers a 24 month reporting period from 1 January 2020 to 31 December 2021:</w:t>
            </w:r>
          </w:p>
          <w:p>
            <w:pPr>
              <w:pStyle w:val="ListParagraph"/>
              <w:numPr>
                <w:ilvl w:val="0"/>
                <w:numId w:val="2"/>
              </w:numPr>
            </w:pPr>
            <w:r>
              <w:rPr>
                <w:rStyle w:val="row-content-rich-text"/>
              </w:rPr>
              <w:t xml:space="preserve">Indigenous primary health care NBEDS 2019–20 covers the period 01/01/2020 to 30/06/2020</w:t>
            </w:r>
          </w:p>
          <w:p>
            <w:pPr>
              <w:pStyle w:val="ListParagraph"/>
              <w:numPr>
                <w:ilvl w:val="0"/>
                <w:numId w:val="2"/>
              </w:numPr>
            </w:pPr>
            <w:r>
              <w:rPr>
                <w:rStyle w:val="row-content-rich-text"/>
              </w:rPr>
              <w:t xml:space="preserve">Indigenous primary health care NBEDS 2020–21 covers the period 01/07/2020 to 30/06/2021</w:t>
            </w:r>
          </w:p>
          <w:p>
            <w:pPr>
              <w:pStyle w:val="ListParagraph"/>
              <w:numPr>
                <w:ilvl w:val="0"/>
                <w:numId w:val="2"/>
              </w:numPr>
            </w:pPr>
            <w:r>
              <w:rPr>
                <w:rStyle w:val="row-content-rich-text"/>
              </w:rPr>
              <w:t xml:space="preserve">Indigenous primary health care NBEDS 2021–22 (to be released) will cover the period 01/07/2021 to 31/12/2021.</w:t>
            </w:r>
          </w:p>
        </w:tc>
      </w:tr>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Representational attributes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Representation class:</w:t>
            </w:r>
          </w:p>
        </w:tc>
        <w:tc>
          <w:tcPr>
            <w:tcBorders>
              <w:top w:val="none" w:color="000000" w:sz="0"/>
              <w:left w:val="none" w:color="000000" w:sz="0"/>
              <w:bottom w:val="none" w:color="000000" w:sz="0"/>
              <w:right w:val="none" w:color="000000" w:sz="0"/>
            </w:tcBorders>
            <w:vAlign w:val="top"/>
          </w:tcPr>
          <w:p>
            <w:r>
              <w:t xml:space="preserve">Count</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Data type:</w:t>
            </w:r>
          </w:p>
        </w:tc>
        <w:tc>
          <w:tcPr>
            <w:tcBorders>
              <w:top w:val="none" w:color="000000" w:sz="0"/>
              <w:left w:val="none" w:color="000000" w:sz="0"/>
              <w:bottom w:val="none" w:color="000000" w:sz="0"/>
              <w:right w:val="none" w:color="000000" w:sz="0"/>
            </w:tcBorders>
            <w:vAlign w:val="top"/>
          </w:tcPr>
          <w:p>
            <w:r>
              <w:t xml:space="preserve">Real</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Unit of measure:</w:t>
            </w:r>
          </w:p>
        </w:tc>
        <w:tc>
          <w:tcPr>
            <w:tcBorders>
              <w:top w:val="none" w:color="000000" w:sz="0"/>
              <w:left w:val="none" w:color="000000" w:sz="0"/>
              <w:bottom w:val="none" w:color="000000" w:sz="0"/>
              <w:right w:val="none" w:color="000000" w:sz="0"/>
            </w:tcBorders>
            <w:vAlign w:val="top"/>
          </w:tcPr>
          <w:p>
            <w:r>
              <w:t xml:space="preserve">Person</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Format:</w:t>
            </w:r>
          </w:p>
        </w:tc>
        <w:tc>
          <w:tcPr>
            <w:tcBorders>
              <w:top w:val="none" w:color="000000" w:sz="0"/>
              <w:left w:val="none" w:color="000000" w:sz="0"/>
              <w:bottom w:val="none" w:color="000000" w:sz="0"/>
              <w:right w:val="none" w:color="000000" w:sz="0"/>
            </w:tcBorders>
            <w:vAlign w:val="top"/>
          </w:tcPr>
          <w:p>
            <w:pPr/>
            <w:r>
              <w:rPr>
                <w:rStyle w:val="row-content-rich-text"/>
              </w:rPr>
              <w:t xml:space="preserve">N[N(6)]</w:t>
            </w:r>
          </w:p>
        </w:tc>
      </w:tr>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Indicator conceptual framework</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Framework and dimensions:</w:t>
            </w:r>
          </w:p>
        </w:tc>
        <w:tc>
          <w:tcPr>
            <w:tcBorders>
              <w:top w:val="none" w:color="000000" w:sz="0"/>
              <w:left w:val="none" w:color="000000" w:sz="0"/>
              <w:bottom w:val="none" w:color="000000" w:sz="0"/>
              <w:right w:val="none" w:color="000000" w:sz="0"/>
            </w:tcBorders>
            <w:vAlign w:val="top"/>
          </w:tcPr>
          <w:p>
            <w:hyperlink w:history="true" r:id="Rabef42ed13b04492">
              <w:r>
                <w:rPr>
                  <w:rStyle w:val="Hyperlink"/>
                </w:rPr>
                <w:t xml:space="preserve">Health Conditions</w:t>
              </w:r>
            </w:hyperlink>
            <w:r>
              <w:br/>
            </w:r>
            <w:r>
              <w:rPr>
                <w:rStyle w:val="row-content"/>
              </w:rPr>
              <w:t xml:space="preserve"> </w:t>
            </w:r>
          </w:p>
        </w:tc>
      </w:tr>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Data source attributes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Data sources:</w:t>
            </w:r>
          </w:p>
        </w:tc>
        <w:tc>
          <w:tcPr>
            <w:tcW w:w="3750" w:type="pct"/>
            <w:tcBorders>
              <w:top w:val="none" w:color="000000" w:sz="0"/>
              <w:left w:val="none" w:color="000000" w:sz="0"/>
              <w:bottom w:val="none" w:color="000000" w:sz="0"/>
              <w:right w:val="none" w:color="000000" w:sz="0"/>
            </w:tcBorders>
            <w:vAlign w:val="top"/>
            <w:tcMar>
              <w:top w:w="100"/>
              <w:bottom w:w="100"/>
            </w:tcMar>
          </w:tcPr>
          <w:p>
            <w:r>
              <w:rPr>
                <w:rStyle w:val="row-content"/>
                <w:b/>
                <w:color w:val="000000"/>
              </w:rPr>
              <w:t xml:space="preserve">Data Source</w:t>
            </w:r>
          </w:p>
          <w:p>
            <w:hyperlink w:history="true" r:id="Rc39112bd1aec47e2">
              <w:r>
                <w:rPr>
                  <w:rStyle w:val="Hyperlink"/>
                </w:rPr>
                <w:t xml:space="preserve">Indigenous primary health care data collection</w:t>
              </w:r>
            </w:hyperlink>
          </w:p>
          <w:p>
            <w:r>
              <w:rPr>
                <w:rStyle w:val="row-content"/>
                <w:b/>
              </w:rPr>
              <w:t xml:space="preserve">Frequency</w:t>
            </w:r>
          </w:p>
          <w:p>
            <w:r>
              <w:rPr>
                <w:rStyle w:val="row-content"/>
              </w:rPr>
              <w:t xml:space="preserve">6 monthly</w:t>
            </w:r>
          </w:p>
          <w:p>
            <w:r>
              <w:rPr>
                <w:rStyle w:val="row-content"/>
                <w:b/>
              </w:rPr>
              <w:t xml:space="preserve">Data custodian</w:t>
            </w:r>
          </w:p>
          <w:p>
            <w:r>
              <w:rPr>
                <w:rStyle w:val="row-content"/>
              </w:rPr>
              <w:t xml:space="preserve">Australian Institute of Health and Welfare.</w:t>
            </w:r>
          </w:p>
        </w:tc>
      </w:tr>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Source and reference attributes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Submitting organisation:</w:t>
            </w:r>
          </w:p>
        </w:tc>
        <w:tc>
          <w:tcPr>
            <w:tcW w:w="3750" w:type="pct"/>
            <w:tcBorders>
              <w:top w:val="none" w:color="000000" w:sz="0"/>
              <w:left w:val="none" w:color="000000" w:sz="0"/>
              <w:bottom w:val="none" w:color="000000" w:sz="0"/>
              <w:right w:val="none" w:color="000000" w:sz="0"/>
            </w:tcBorders>
            <w:vAlign w:val="top"/>
            <w:tcMar>
              <w:top w:w="100"/>
              <w:bottom w:w="100"/>
            </w:tcMar>
          </w:tcPr>
          <w:p>
            <w:r>
              <w:rPr>
                <w:rStyle w:val="row-content"/>
              </w:rPr>
              <w:t xml:space="preserve">Australian Institute of Health and Welfare</w:t>
            </w:r>
          </w:p>
          <w:p>
            <w:r>
              <w:rPr>
                <w:rStyle w:val="row-content"/>
              </w:rPr>
              <w:t xml:space="preserve">Australian Government Department of Health</w:t>
            </w:r>
          </w:p>
          <w:p>
            <w:r>
              <w:br/>
            </w:r>
          </w:p>
        </w:tc>
      </w:tr>
      <w:tr>
        <w:trPr/>
        <w:tc>
          <w:tcPr>
            <w:gridSpan w:val="2"/>
            <w:tcBorders>
              <w:top w:val="none" w:color="000000" w:sz="0"/>
              <w:left w:val="none" w:color="000000" w:sz="0"/>
              <w:bottom w:val="none" w:color="000000" w:sz="0"/>
              <w:right w:val="none" w:color="000000" w:sz="0"/>
            </w:tcBorders>
            <w:vAlign w:val="top"/>
            <w:tcMar>
              <w:top w:w="300"/>
              <w:bottom w:w="100"/>
            </w:tcMar>
          </w:tcPr>
          <w:p>
            <w:pPr>
              <w:pStyle w:val="Heading2"/>
            </w:pPr>
            <w:r>
              <w:t xml:space="preserve">Relational attributes</w:t>
            </w:r>
            <w:r>
              <w:t xml:space="preserve"> </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Related metadata references:</w:t>
            </w:r>
          </w:p>
        </w:tc>
        <w:tc>
          <w:tcPr>
            <w:tcW w:w="3750" w:type="pct"/>
            <w:tcBorders>
              <w:top w:val="none" w:color="000000" w:sz="0"/>
              <w:left w:val="none" w:color="000000" w:sz="0"/>
              <w:bottom w:val="none" w:color="000000" w:sz="0"/>
              <w:right w:val="none" w:color="000000" w:sz="0"/>
            </w:tcBorders>
            <w:vAlign w:val="top"/>
            <w:tcMar>
              <w:top w:w="100"/>
              <w:bottom w:w="100"/>
            </w:tcMar>
          </w:tcPr>
          <w:p>
            <w:r>
              <w:rPr>
                <w:rStyle w:val="row-content"/>
              </w:rPr>
              <w:t xml:space="preserve">Supersedes </w:t>
            </w:r>
            <w:hyperlink w:history="true" r:id="Rd29f0276bd954cdc">
              <w:r>
                <w:rPr>
                  <w:rStyle w:val="Hyperlink"/>
                </w:rPr>
                <w:t xml:space="preserve">Indigenous primary health care: PI01a-Number of Indigenous babies born within the previous 12 months whose birthweight has been recorded, 2018-2019</w:t>
              </w:r>
            </w:hyperlink>
          </w:p>
          <w:p>
            <w:pPr>
              <w:pStyle w:val="registration-status"/>
              <w:spacing w:before="0" w:after="0"/>
            </w:pPr>
            <w:hyperlink w:history="true" r:id="Rf4e41c61167a4dac">
              <w:r>
                <w:rPr>
                  <w:rStyle w:val="Hyperlink"/>
                  <w:color w:val="244061"/>
                </w:rPr>
                <w:t xml:space="preserve">Health</w:t>
              </w:r>
            </w:hyperlink>
            <w:r>
              <w:rPr>
                <w:rStyle w:val="row-content"/>
                <w:color w:val="244061"/>
              </w:rPr>
              <w:t xml:space="preserve">, Superseded 16/01/2020</w:t>
            </w:r>
          </w:p>
          <w:p>
            <w:pPr>
              <w:pStyle w:val="registration-status"/>
              <w:spacing w:before="0" w:after="0"/>
            </w:pPr>
            <w:hyperlink w:history="true" r:id="Rb5d1f8e609c54848">
              <w:r>
                <w:rPr>
                  <w:rStyle w:val="Hyperlink"/>
                  <w:color w:val="244061"/>
                </w:rPr>
                <w:t xml:space="preserve">Indigenous</w:t>
              </w:r>
            </w:hyperlink>
            <w:r>
              <w:rPr>
                <w:rStyle w:val="row-content"/>
                <w:color w:val="244061"/>
              </w:rPr>
              <w:t xml:space="preserve">, Superseded 14/07/2021</w:t>
            </w:r>
          </w:p>
          <w:p>
            <w:r>
              <w:br/>
            </w:r>
            <w:r>
              <w:rPr>
                <w:rStyle w:val="row-content"/>
              </w:rPr>
              <w:t xml:space="preserve">Has been superseded by </w:t>
            </w:r>
            <w:hyperlink w:history="true" r:id="R992e25914bbc41b3">
              <w:r>
                <w:rPr>
                  <w:rStyle w:val="Hyperlink"/>
                </w:rPr>
                <w:t xml:space="preserve">Indigenous-specific primary health care: PI01a-Number of Indigenous babies born within the previous 12 months who have birthweight recorded, December 2020</w:t>
              </w:r>
            </w:hyperlink>
          </w:p>
          <w:p>
            <w:pPr>
              <w:pStyle w:val="registration-status"/>
              <w:spacing w:before="0" w:after="0"/>
            </w:pPr>
            <w:hyperlink w:history="true" r:id="R4378b35bf1bb43fe">
              <w:r>
                <w:rPr>
                  <w:rStyle w:val="Hyperlink"/>
                  <w:color w:val="244061"/>
                </w:rPr>
                <w:t xml:space="preserve">Indigenous</w:t>
              </w:r>
            </w:hyperlink>
            <w:r>
              <w:rPr>
                <w:rStyle w:val="row-content"/>
                <w:color w:val="244061"/>
              </w:rPr>
              <w:t xml:space="preserve">, Superseded 03/07/2022</w:t>
            </w:r>
          </w:p>
          <w:p>
            <w:r>
              <w:br/>
            </w:r>
            <w:r>
              <w:rPr>
                <w:rStyle w:val="row-content"/>
              </w:rPr>
              <w:t xml:space="preserve">See also </w:t>
            </w:r>
            <w:hyperlink w:history="true" r:id="R4dc1462d42ad4e9c">
              <w:r>
                <w:rPr>
                  <w:rStyle w:val="Hyperlink"/>
                </w:rPr>
                <w:t xml:space="preserve">Indigenous primary health care: PI01b-Proportion of Indigenous babies born within the previous 12 months whose birthweight has been recorded, June 2020</w:t>
              </w:r>
            </w:hyperlink>
          </w:p>
          <w:p>
            <w:pPr>
              <w:pStyle w:val="registration-status"/>
              <w:spacing w:before="0" w:after="0"/>
            </w:pPr>
            <w:hyperlink w:history="true" r:id="Rdd956099d21c49b2">
              <w:r>
                <w:rPr>
                  <w:rStyle w:val="Hyperlink"/>
                  <w:color w:val="244061"/>
                </w:rPr>
                <w:t xml:space="preserve">Health</w:t>
              </w:r>
            </w:hyperlink>
            <w:r>
              <w:rPr>
                <w:rStyle w:val="row-content"/>
                <w:color w:val="244061"/>
              </w:rPr>
              <w:t xml:space="preserve">, Retired 13/10/2021</w:t>
            </w:r>
          </w:p>
          <w:p>
            <w:pPr>
              <w:pStyle w:val="registration-status"/>
              <w:spacing w:before="0" w:after="0"/>
            </w:pPr>
            <w:hyperlink w:history="true" r:id="R23c1c1e48e504d9e">
              <w:r>
                <w:rPr>
                  <w:rStyle w:val="Hyperlink"/>
                  <w:color w:val="244061"/>
                </w:rPr>
                <w:t xml:space="preserve">Indigenous</w:t>
              </w:r>
            </w:hyperlink>
            <w:r>
              <w:rPr>
                <w:rStyle w:val="row-content"/>
                <w:color w:val="244061"/>
              </w:rPr>
              <w:t xml:space="preserve">, Superseded 14/07/2021</w:t>
            </w:r>
          </w:p>
          <w:p>
            <w:r>
              <w:br/>
            </w:r>
          </w:p>
        </w:tc>
      </w:tr>
    </w:tbl>
    <w:p>
      <w:r>
        <w:br/>
      </w:r>
    </w:p>
    <w:sectPr>
      <w:footerReference xmlns:r="http://schemas.openxmlformats.org/officeDocument/2006/relationships" w:type="default" r:id="Rec6dadb6e6d54614"/>
      <w:pgMar w:top="1060" w:right="1000" w:bottom="1060" w:left="1000" w:footer="300"/>
      <w:titlePg/>
    </w:sectPr>
  </w:body>
</w:document>
</file>

<file path=word/footer1.xml><?xml version="1.0" encoding="utf-8"?>
<w:ftr xmlns:w="http://schemas.openxmlformats.org/wordprocessingml/2006/main">
  <w:p>
    <w:pPr>
      <w:pStyle w:val="Footer"/>
      <w:pBdr>
        <w:top w:val="single"/>
      </w:pBdr>
    </w:pPr>
    <w:r>
      <w:ptab w:alignment="left" w:relativeTo="margin" w:leader="none"/>
    </w:r>
    <w:r>
      <w:t>Metadata 717264</w:t>
    </w:r>
    <w:r>
      <w:ptab w:alignment="right" w:relativeTo="margin" w:leader="none"/>
    </w:r>
    <w:r>
      <w:t xml:space="preserve">Page </w:t>
    </w:r>
    <w:fldSimple w:instr="PAGE"/>
    <w:r>
      <w:t xml:space="preserve"> of </w:t>
    </w:r>
    <w:fldSimple w:instr="NUMPAGES"/>
    <w:r>
      <w:ptab w:alignment="left" w:relativeTo="margin" w:leader="none"/>
    </w:r>
    <w:r>
      <w:t>Downloaded 04-Jun-2026</w:t>
    </w:r>
  </w:p>
</w:ftr>
</file>

<file path=word/header1.xml><?xml version="1.0" encoding="utf-8"?>
<w:hdr xmlns:w="http://schemas.openxmlformats.org/wordprocessingml/2006/main">
  <w:p>
    <w:r>
      <w:drawing>
        <wp:inline xmlns:wp14="http://schemas.microsoft.com/office/word/2010/wordprocessingDrawing" xmlns:wp="http://schemas.openxmlformats.org/drawingml/2006/wordprocessingDrawing" distT="0" distB="0" distL="0" distR="0" wp14:editId="50D07946">
          <wp:extent cx="5943600" cy="10972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xmlns:r="http://schemas.openxmlformats.org/officeDocument/2006/relationships" r:embed="Rb4df5b32486e4bc1" cstate="print">
                    <a:extLst>
                      <a:ext uri="{28A0092B-C50C-407E-A947-70E740481C1C}"/>
                    </a:extLst>
                  </a:blip>
                  <a:stretch>
                    <a:fillRect/>
                  </a:stretch>
                </pic:blipFill>
                <pic:spPr>
                  <a:xfrm>
                    <a:off x="0" y="0"/>
                    <a:ext cx="5943600" cy="1097280"/>
                  </a:xfrm>
                  <a:prstGeom prst="rect">
                    <a:avLst/>
                  </a:prstGeom>
                </pic:spPr>
              </pic:pic>
            </a:graphicData>
          </a:graphic>
        </wp:inline>
      </w:drawing>
    </w:r>
  </w:p>
</w:hdr>
</file>

<file path=word/numbering.xml><?xml version="1.0" encoding="utf-8"?>
<w:numbering xmlns:w="http://schemas.openxmlformats.org/wordprocessingml/2006/main">
  <w:abstractNum w:abstractNumId="0">
    <w:multiLevelType w:val="singleLevel"/>
    <w:name w:val="decimal"/>
    <w:lvl w:ilvl="0">
      <w:start w:val="1"/>
      <w:numFmt w:val="decimal"/>
      <w:lvlText w:val="%1."/>
      <w:pPr>
        <w:ind w:left="420" w:hanging="360"/>
      </w:pPr>
    </w:lvl>
  </w:abstractNum>
  <w:abstractNum w:abstractNumId="1">
    <w:multiLevelType w:val="singleLevel"/>
    <w:name w:val="disc"/>
    <w:lvl w:ilvl="0">
      <w:numFmt w:val="bullet"/>
      <w:lvlText w:val="•"/>
      <w:pPr>
        <w:ind w:left="420" w:hanging="360"/>
      </w:pPr>
    </w:lvl>
  </w:abstractNum>
  <w:abstractNum w:abstractNumId="2">
    <w:multiLevelType w:val="singleLevel"/>
    <w:name w:val="square"/>
    <w:lvl w:ilvl="0">
      <w:numFmt w:val="bullet"/>
      <w:lvlText w:val="▪"/>
      <w:pPr>
        <w:ind w:left="420" w:hanging="360"/>
      </w:pPr>
    </w:lvl>
  </w:abstractNum>
  <w:abstractNum w:abstractNumId="3">
    <w:multiLevelType w:val="singleLevel"/>
    <w:name w:val="circle"/>
    <w:lvl w:ilvl="0">
      <w:numFmt w:val="bullet"/>
      <w:lvlText w:val="o"/>
      <w:pPr>
        <w:ind w:left="420" w:hanging="360"/>
      </w:pPr>
    </w:lvl>
  </w:abstractNum>
  <w:abstractNum w:abstractNumId="4">
    <w:multiLevelType w:val="singleLevel"/>
    <w:name w:val="upper-alpha"/>
    <w:lvl w:ilvl="0">
      <w:start w:val="1"/>
      <w:numFmt w:val="upperLetter"/>
      <w:lvlText w:val="%1."/>
      <w:pPr>
        <w:ind w:left="420" w:hanging="360"/>
      </w:pPr>
    </w:lvl>
  </w:abstractNum>
  <w:abstractNum w:abstractNumId="5">
    <w:multiLevelType w:val="singleLevel"/>
    <w:name w:val="lower-alpha"/>
    <w:lvl w:ilvl="0">
      <w:start w:val="1"/>
      <w:numFmt w:val="lowerLetter"/>
      <w:lvlText w:val="%1."/>
      <w:pPr>
        <w:ind w:left="420" w:hanging="360"/>
      </w:pPr>
    </w:lvl>
  </w:abstractNum>
  <w:abstractNum w:abstractNumId="6">
    <w:multiLevelType w:val="singleLevel"/>
    <w:name w:val="upper-roman"/>
    <w:lvl w:ilvl="0">
      <w:start w:val="1"/>
      <w:numFmt w:val="upperRoman"/>
      <w:lvlText w:val="%1."/>
      <w:pPr>
        <w:ind w:left="420" w:hanging="360"/>
      </w:pPr>
    </w:lvl>
  </w:abstractNum>
  <w:abstractNum w:abstractNumId="7">
    <w:multiLevelType w:val="singleLevel"/>
    <w:name w:val="lower-roman"/>
    <w:lvl w:ilvl="0">
      <w:start w:val="1"/>
      <w:numFmt w:val="lowerRoman"/>
      <w:lvlText w:val="%1."/>
      <w:pPr>
        <w:ind w:left="420" w:hanging="360"/>
      </w:pPr>
    </w:lvl>
  </w:abstractNum>
  <w:abstractNum w:abstractNumId="8">
    <w:multiLevelType w:val="singleLevel"/>
    <w:name w:val="decimal-heading-multi"/>
    <w:lvl w:ilvl="0">
      <w:start w:val="1"/>
      <w:numFmt w:val="decimal"/>
      <w:lvlText w:val="%1."/>
    </w:lvl>
  </w:abstractNum>
  <w:num w:numId="2">
    <w:abstractNumId w:val="1"/>
    <w:lvlOverride w:ilvl="0">
      <w:startOverride w:val="1"/>
    </w:lvlOverride>
  </w:num>
</w:numbering>
</file>

<file path=word/settings.xml><?xml version="1.0" encoding="utf-8"?>
<w:settings xmlns:w="http://schemas.openxmlformats.org/wordprocessingml/2006/main">
  <w:compatSetting w:name="compatibilityMode" w:uri="http://schemas.microsoft.com/office/word" w:val="16"/>
</w:settings>
</file>

<file path=word/styles.xml><?xml version="1.0" encoding="utf-8"?>
<w:styles xmlns:w="http://schemas.openxmlformats.org/wordprocessingml/2006/main">
  <w:style w:type="paragraph" w:styleId="Normal" w:customStyle="false">
    <w:uiPriority w:val="11"/>
    <w:qFormat/>
    <w:name w:val="Normal"/>
    <w:rPr>
      <w:color w:themeColor="text1"/>
      <w:rFonts w:ascii="Segoe UI"/>
      <w:sz w:val="22"/>
    </w:rPr>
  </w:style>
  <w:style w:type="character" w:styleId="row-heading" w:customStyle="false">
    <w:uiPriority w:val="11"/>
    <w:qFormat/>
    <w:name w:val="row-heading"/>
    <w:rPr>
      <w:color w:themeColor="dark2"/>
      <w:rFonts w:ascii="Segoe UI"/>
      <w:sz w:val="22"/>
    </w:rPr>
  </w:style>
  <w:style w:type="character" w:styleId="row-content" w:customStyle="false">
    <w:name w:val="row-content"/>
    <w:basedOn w:val="Normal"/>
    <w:uiPriority w:val="12"/>
    <w:qFormat/>
  </w:style>
  <w:style w:type="character" w:styleId="row-content-rich-text" w:customStyle="false">
    <w:name w:val="row-content-rich-text"/>
    <w:basedOn w:val="Normal"/>
    <w:uiPriority w:val="12"/>
    <w:qFormat/>
  </w:style>
  <w:style w:type="character" w:styleId="alternate-name-de" w:customStyle="false">
    <w:name w:val="alternate-name-de"/>
    <w:basedOn w:val="Normal"/>
    <w:uiPriority w:val="12"/>
    <w:qFormat/>
  </w:style>
  <w:style w:type="character" w:styleId="alternate-name-indicator" w:customStyle="false">
    <w:name w:val="alternate-name-indicator"/>
    <w:basedOn w:val="Normal"/>
    <w:uiPriority w:val="12"/>
    <w:qFormat/>
  </w:style>
  <w:style w:type="paragraph" w:styleId="registration-status" w:customStyle="false">
    <w:name w:val="registration-status"/>
    <w:basedOn w:val="Normal"/>
    <w:uiPriority w:val="12"/>
    <w:qFormat/>
    <w:pPr>
      <w:ind w:left="400"/>
    </w:pPr>
  </w:style>
  <w:style w:type="paragraph" w:styleId="Heading1" w:customStyle="false">
    <w:uiPriority w:val="11"/>
    <w:qFormat/>
    <w:name w:val="heading 1"/>
    <w:rPr>
      <w:color w:themeColor="accent1" w:themeShade="6F"/>
      <w:rFonts w:ascii="Segoe UI"/>
      <w:sz w:val="36"/>
      <w:b/>
    </w:rPr>
  </w:style>
  <w:style w:type="paragraph" w:styleId="underlinedHeading1" w:customStyle="false">
    <w:uiPriority w:val="11"/>
    <w:qFormat/>
    <w:name w:val="heading 1"/>
    <w:rPr>
      <w:color w:themeColor="accent1" w:themeShade="6F"/>
      <w:rFonts w:ascii="Segoe UI"/>
      <w:sz w:val="36"/>
      <w:b/>
    </w:rPr>
  </w:style>
  <w:style w:type="paragraph" w:styleId="Heading2" w:customStyle="false">
    <w:uiPriority w:val="11"/>
    <w:qFormat/>
    <w:name w:val="heading 2"/>
    <w:rPr>
      <w:color w:themeColor="accent1" w:themeShade="7F"/>
      <w:rFonts w:ascii="Segoe UI"/>
      <w:sz w:val="32"/>
      <w:b/>
    </w:rPr>
  </w:style>
  <w:style w:type="paragraph" w:styleId="underlinedHeading2" w:customStyle="false">
    <w:uiPriority w:val="11"/>
    <w:qFormat/>
    <w:name w:val="heading 2"/>
    <w:rPr>
      <w:color w:themeColor="accent1" w:themeShade="7F"/>
      <w:rFonts w:ascii="Segoe UI"/>
      <w:sz w:val="32"/>
      <w:b/>
    </w:rPr>
  </w:style>
  <w:style w:type="paragraph" w:styleId="Heading3" w:customStyle="false">
    <w:uiPriority w:val="11"/>
    <w:qFormat/>
    <w:name w:val="heading 3"/>
    <w:rPr>
      <w:color w:themeColor="accent1" w:themeShade="BF"/>
      <w:rFonts w:ascii="Segoe UI"/>
      <w:sz w:val="28"/>
      <w:b/>
    </w:rPr>
  </w:style>
  <w:style w:type="paragraph" w:styleId="underlinedHeading3" w:customStyle="false">
    <w:uiPriority w:val="11"/>
    <w:qFormat/>
    <w:name w:val="heading 3"/>
    <w:rPr>
      <w:color w:themeColor="accent1" w:themeShade="BF"/>
      <w:rFonts w:ascii="Segoe UI"/>
      <w:sz w:val="28"/>
      <w:b/>
    </w:rPr>
  </w:style>
  <w:style w:type="paragraph" w:styleId="Heading4" w:customStyle="false">
    <w:uiPriority w:val="11"/>
    <w:qFormat/>
    <w:name w:val="heading 4"/>
    <w:rPr>
      <w:color w:themeColor="accent1" w:themeShade="EF"/>
      <w:rFonts w:ascii="Segoe UI"/>
      <w:sz w:val="26"/>
      <w:b/>
    </w:rPr>
  </w:style>
  <w:style w:type="paragraph" w:styleId="underlinedHeading4" w:customStyle="false">
    <w:uiPriority w:val="11"/>
    <w:qFormat/>
    <w:name w:val="heading 4"/>
    <w:rPr>
      <w:color w:themeColor="accent1" w:themeShade="EF"/>
      <w:rFonts w:ascii="Segoe UI"/>
      <w:sz w:val="26"/>
      <w:b/>
    </w:rPr>
  </w:style>
  <w:style w:type="paragraph" w:styleId="Heading5" w:customStyle="false">
    <w:uiPriority w:val="11"/>
    <w:qFormat/>
    <w:name w:val="heading 5"/>
    <w:rPr>
      <w:color w:themeColor="accent1" w:themeShade="FF"/>
      <w:rFonts w:ascii="Segoe UI"/>
      <w:sz w:val="24"/>
      <w:b/>
    </w:rPr>
  </w:style>
  <w:style w:type="paragraph" w:styleId="underlinedHeading5" w:customStyle="false">
    <w:uiPriority w:val="11"/>
    <w:qFormat/>
    <w:name w:val="heading 5"/>
    <w:rPr>
      <w:color w:themeColor="accent1" w:themeShade="FF"/>
      <w:rFonts w:ascii="Segoe UI"/>
      <w:sz w:val="24"/>
      <w:b/>
    </w:rPr>
  </w:style>
  <w:style w:type="paragraph" w:styleId="Heading6" w:customStyle="false">
    <w:uiPriority w:val="11"/>
    <w:qFormat/>
    <w:name w:val="heading 6"/>
    <w:rPr>
      <w:color w:themeColor="accent1" w:themeShade="FF"/>
      <w:rFonts w:ascii="Segoe UI"/>
      <w:sz w:val="22"/>
      <w:b/>
    </w:rPr>
  </w:style>
  <w:style w:type="paragraph" w:styleId="underlinedHeading6" w:customStyle="false">
    <w:uiPriority w:val="11"/>
    <w:qFormat/>
    <w:name w:val="heading 6"/>
    <w:rPr>
      <w:color w:themeColor="accent1" w:themeShade="FF"/>
      <w:rFonts w:ascii="Segoe UI"/>
      <w:sz w:val="22"/>
      <w:b/>
    </w:rPr>
  </w:style>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xmlns:w="http://schemas.openxmlformats.org/wordprocessingml/2006/main" w:type="character" w:styleId="Hyperlink">
    <w:name w:val="Hyperlink"/>
    <w:unhideWhenUsed/>
    <w:rPr>
      <w:color w:val="0000FF" w:themeColor="hyperlink"/>
      <w:u w:val="single"/>
    </w:rPr>
  </w:style>
  <w:style w:type="table" w:styleId="InnerTable">
    <w:name w:val="Inner Table"/>
    <w:basedOn w:val="TableGrid"/>
    <w:tblPr>
      <w:tblCellMar>
        <w:left w:w="0" w:type="dxa"/>
        <w:right w:w="0" w:type="dxa"/>
      </w:tblCellMar>
    </w:tblPr>
  </w:style>
  <w:style w:type="paragraph" w:styleId="Title" w:customStyle="false">
    <w:uiPriority w:val="10"/>
    <w:qFormat/>
    <w:name w:val="Title"/>
    <w:basedOn w:val="Normal"/>
    <w:next w:val="Normal"/>
    <w:rPr>
      <w:color w:themeColor="dark1"/>
      <w:rFonts w:ascii="Calibri Light"/>
      <w:sz w:val="56"/>
    </w:rPr>
  </w:style>
  <w:style w:type="paragraph" w:styleId="Subtitle" w:customStyle="false">
    <w:uiPriority w:val="11"/>
    <w:qFormat/>
    <w:name w:val="Subtitle"/>
    <w:basedOn w:val="Normal"/>
    <w:next w:val="Normal"/>
    <w:rPr>
      <w:color w:themeColor="dark1"/>
      <w:rFonts w:ascii="Calibri Light"/>
      <w:sz w:val="32"/>
    </w:rPr>
  </w:style>
</w:styles>
</file>

<file path=word/_rels/document.xml.rels>&#65279;<?xml version="1.0" encoding="utf-8"?><Relationships xmlns="http://schemas.openxmlformats.org/package/2006/relationships"><Relationship Type="http://schemas.openxmlformats.org/officeDocument/2006/relationships/footer" Target="/word/footer1.xml" Id="Rec6dadb6e6d54614" /><Relationship Type="http://schemas.openxmlformats.org/officeDocument/2006/relationships/header" Target="/word/header1.xml" Id="Ra6c08080f8a448c9" /><Relationship Type="http://schemas.openxmlformats.org/officeDocument/2006/relationships/settings" Target="/word/settings.xml" Id="Raead1b3b06af459c" /><Relationship Type="http://schemas.openxmlformats.org/officeDocument/2006/relationships/styles" Target="/word/styles.xml" Id="R4006f081130b4f6b" /><Relationship Type="http://schemas.openxmlformats.org/officeDocument/2006/relationships/numbering" Target="/word/numbering.xml" Id="R539302bc9760468d" /><Relationship Type="http://schemas.openxmlformats.org/officeDocument/2006/relationships/hyperlink" Target="https://meteor.aihw.gov.au/RegistrationAuthority/6" TargetMode="External" Id="R89eaf9c09d194058" /><Relationship Type="http://schemas.openxmlformats.org/officeDocument/2006/relationships/hyperlink" Target="https://meteor.aihw.gov.au/RegistrationAuthority/12" TargetMode="External" Id="R6a408a236c494024" /><Relationship Type="http://schemas.openxmlformats.org/officeDocument/2006/relationships/hyperlink" Target="https://meteor.aihw.gov.au/content/327212" TargetMode="External" Id="R799b8ea5c737459a" /><Relationship Type="http://schemas.openxmlformats.org/officeDocument/2006/relationships/hyperlink" Target="https://meteor.aihw.gov.au/content/717261" TargetMode="External" Id="R9a7e2f2829e645fd" /><Relationship Type="http://schemas.openxmlformats.org/officeDocument/2006/relationships/hyperlink" Target="https://meteor.aihw.gov.au/RegistrationAuthority/12" TargetMode="External" Id="R832024ed6b8a4f45" /><Relationship Type="http://schemas.openxmlformats.org/officeDocument/2006/relationships/hyperlink" Target="https://meteor.aihw.gov.au/RegistrationAuthority/6" TargetMode="External" Id="R95f075d1de6a4784" /><Relationship Type="http://schemas.openxmlformats.org/officeDocument/2006/relationships/hyperlink" Target="https://meteor.aihw.gov.au/content/602543" TargetMode="External" Id="R68a924c802194535" /><Relationship Type="http://schemas.openxmlformats.org/officeDocument/2006/relationships/hyperlink" Target="https://meteor.aihw.gov.au/content/430643" TargetMode="External" Id="R43f3514b16654dd2" /><Relationship Type="http://schemas.openxmlformats.org/officeDocument/2006/relationships/hyperlink" Target="https://meteor.aihw.gov.au/content/715320" TargetMode="External" Id="R4573d3ab5fac4aa7" /><Relationship Type="http://schemas.openxmlformats.org/officeDocument/2006/relationships/hyperlink" Target="https://meteor.aihw.gov.au/content/695437" TargetMode="External" Id="Rfa9e032b71174747" /><Relationship Type="http://schemas.openxmlformats.org/officeDocument/2006/relationships/hyperlink" Target="https://meteor.aihw.gov.au/content/430643" TargetMode="External" Id="R805e4b55d37049a1" /><Relationship Type="http://schemas.openxmlformats.org/officeDocument/2006/relationships/hyperlink" Target="https://meteor.aihw.gov.au/content/715320" TargetMode="External" Id="R150c9e7fd62e4233" /><Relationship Type="http://schemas.openxmlformats.org/officeDocument/2006/relationships/hyperlink" Target="https://meteor.aihw.gov.au/content/709571" TargetMode="External" Id="R6efee4c2d26943b3" /><Relationship Type="http://schemas.openxmlformats.org/officeDocument/2006/relationships/hyperlink" Target="https://meteor.aihw.gov.au/content/430643" TargetMode="External" Id="Rf262232eb77f4e80" /><Relationship Type="http://schemas.openxmlformats.org/officeDocument/2006/relationships/hyperlink" Target="https://meteor.aihw.gov.au/content/715320" TargetMode="External" Id="R4f4bc17f9dc94331" /><Relationship Type="http://schemas.openxmlformats.org/officeDocument/2006/relationships/hyperlink" Target="https://meteor.aihw.gov.au/content/410650" TargetMode="External" Id="Rabef42ed13b04492" /><Relationship Type="http://schemas.openxmlformats.org/officeDocument/2006/relationships/hyperlink" Target="https://meteor.aihw.gov.au/content/430643" TargetMode="External" Id="Rc39112bd1aec47e2" /><Relationship Type="http://schemas.openxmlformats.org/officeDocument/2006/relationships/hyperlink" Target="https://meteor.aihw.gov.au/content/687916" TargetMode="External" Id="Rd29f0276bd954cdc" /><Relationship Type="http://schemas.openxmlformats.org/officeDocument/2006/relationships/hyperlink" Target="https://meteor.aihw.gov.au/RegistrationAuthority/12" TargetMode="External" Id="Rf4e41c61167a4dac" /><Relationship Type="http://schemas.openxmlformats.org/officeDocument/2006/relationships/hyperlink" Target="https://meteor.aihw.gov.au/RegistrationAuthority/6" TargetMode="External" Id="Rb5d1f8e609c54848" /><Relationship Type="http://schemas.openxmlformats.org/officeDocument/2006/relationships/hyperlink" Target="https://meteor.aihw.gov.au/content/739294" TargetMode="External" Id="R992e25914bbc41b3" /><Relationship Type="http://schemas.openxmlformats.org/officeDocument/2006/relationships/hyperlink" Target="https://meteor.aihw.gov.au/RegistrationAuthority/6" TargetMode="External" Id="R4378b35bf1bb43fe" /><Relationship Type="http://schemas.openxmlformats.org/officeDocument/2006/relationships/hyperlink" Target="https://meteor.aihw.gov.au/content/717266" TargetMode="External" Id="R4dc1462d42ad4e9c" /><Relationship Type="http://schemas.openxmlformats.org/officeDocument/2006/relationships/hyperlink" Target="https://meteor.aihw.gov.au/RegistrationAuthority/12" TargetMode="External" Id="Rdd956099d21c49b2" /><Relationship Type="http://schemas.openxmlformats.org/officeDocument/2006/relationships/hyperlink" Target="https://meteor.aihw.gov.au/RegistrationAuthority/6" TargetMode="External" Id="R23c1c1e48e504d9e" /></Relationships>
</file>

<file path=word/_rels/header1.xml.rels>&#65279;<?xml version="1.0" encoding="utf-8"?><Relationships xmlns="http://schemas.openxmlformats.org/package/2006/relationships"><Relationship Type="http://schemas.openxmlformats.org/officeDocument/2006/relationships/image" Target="/media/image.png" Id="Rb4df5b32486e4bc1" /></Relationships>
</file>