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b758103eb9482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g–Better health services: the rate of Staphylococcus aureus (including MRSA) bacteraemia is no more than 2.0 per 10,000 occupied bed days for acute care public hospitals by 2011–12 in each state and territory, 2020</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g–Better health services: the rate of Staphylococcus aureus (including MRSA) bacteraemia is no more than 2.0 per 10,000 occupied bed days for acute care public hospitals by 2011–12 in each state and territory,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g–The rate of Staphylococcus aureus (including MRSA) bacteraemia is no more than 2.0 per 10,000 occupied bed days for acute care public hospitals by 2011–12 in each state and territory,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35a3dffb704804">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3f0241dda4345d7">
              <w:r>
                <w:rPr>
                  <w:rStyle w:val="Hyperlink"/>
                </w:rPr>
                <w:t xml:space="preserve">National Healthcare Agreement (2020)</w:t>
              </w:r>
            </w:hyperlink>
          </w:p>
          <w:p>
            <w:pPr>
              <w:spacing w:before="0" w:after="0"/>
            </w:pPr>
            <w:r>
              <w:rPr>
                <w:rStyle w:val="row-content"/>
                <w:color w:val="244061"/>
              </w:rPr>
              <w:t xml:space="preserve">       </w:t>
            </w:r>
            <w:hyperlink w:history="true" r:id="Raa6cc43a1ef0434d">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f4b906c93774af1">
              <w:r>
                <w:rPr>
                  <w:rStyle w:val="Hyperlink"/>
                </w:rPr>
                <w:t xml:space="preserve">Hospital and Related Care</w:t>
              </w:r>
            </w:hyperlink>
          </w:p>
          <w:p>
            <w:pPr>
              <w:spacing w:before="0" w:after="0"/>
            </w:pPr>
            <w:r>
              <w:rPr>
                <w:rStyle w:val="row-content"/>
                <w:color w:val="244061"/>
              </w:rPr>
              <w:t xml:space="preserve">       </w:t>
            </w:r>
            <w:hyperlink w:history="true" r:id="Rc687eb48ac49485e">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6808677344784b16">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Establishments National Minimum Data Set.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hospital boarders and posthumous organ procurement are excluded from the indicator.</w:t>
            </w:r>
          </w:p>
          <w:p>
            <w:pPr>
              <w:spacing w:after="160"/>
            </w:pPr>
            <w:r>
              <w:rPr>
                <w:rStyle w:val="row-content-rich-text"/>
              </w:rPr>
              <w:t xml:space="preserve">A </w:t>
            </w:r>
            <w:hyperlink w:history="true" r:id="R513c3e2aca7b4885">
              <w:r>
                <w:rPr>
                  <w:rStyle w:val="Hyperlink"/>
                </w:rPr>
                <w:t xml:space="preserve">patient-episode of </w:t>
              </w:r>
              <w:r>
                <w:rPr>
                  <w:rStyle w:val="row-content-rich-text"/>
                  <w:i/>
                </w:rPr>
                <w:t xml:space="preserve">Staphylococcus aureus</w:t>
              </w:r>
              <w:r>
                <w:rPr>
                  <w:rStyle w:val="row-content-rich-text"/>
                </w:rPr>
                <w:t xml:space="preserve"> bacteraemia (SAB)</w:t>
              </w:r>
            </w:hyperlink>
            <w:r>
              <w:rPr>
                <w:rStyle w:val="row-content-rich-text"/>
              </w:rPr>
              <w:t xml:space="preserve">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SAB was diagnosed within 48 hours of a related invasive instrumentation or incision</w:t>
            </w:r>
          </w:p>
          <w:p>
            <w:pPr>
              <w:pStyle w:val="ListParagraph"/>
              <w:numPr>
                <w:ilvl w:val="0"/>
                <w:numId w:val="2"/>
              </w:numPr>
            </w:pPr>
            <w:r>
              <w:rPr>
                <w:rStyle w:val="row-content-rich-text"/>
              </w:rPr>
              <w:t xml:space="preserve">SAB is associated with neutropenia contributed to by cytotoxic therapy. Neutropenia is defined as at least two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7-day time period which includes the date the positive blood specimen was collected (day 1), the 3 calendar days before and the 3 calendar days after.</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1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65d877a1f30446c3">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 a number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patient days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SAB patient episodes (as defined in the Computation description)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w:t>
            </w:r>
            <w:r>
              <w:rPr>
                <w:rStyle w:val="row-content"/>
                <w:i/>
              </w:rPr>
              <w:t xml:space="preserve">Staphylococcus aureus</w:t>
            </w:r>
            <w:r>
              <w:rPr>
                <w:rStyle w:val="row-content"/>
              </w:rPr>
              <w:t xml:space="preserve"> bacteraemia episode indicator</w:t>
            </w:r>
          </w:p>
          <w:p>
            <w:r>
              <w:rPr>
                <w:rStyle w:val="row-content"/>
              </w:rPr>
              <w:t xml:space="preserve"> </w:t>
            </w:r>
          </w:p>
          <w:p>
            <w:r>
              <w:rPr>
                <w:rStyle w:val="row-content"/>
                <w:b/>
              </w:rPr>
              <w:t xml:space="preserve">Data Source</w:t>
            </w:r>
          </w:p>
          <w:p>
            <w:hyperlink w:history="true" r:id="Rbadd494f2a934f4c">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7bd0a3e0261f426e">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public acute care hospitals under surveillance (i.e. only for hospitals included in the surveillance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Episode of admitted patient care—admission date</w:t>
            </w:r>
          </w:p>
          <w:p>
            <w:r>
              <w:rPr>
                <w:rStyle w:val="row-content"/>
              </w:rPr>
              <w:t xml:space="preserve"> </w:t>
            </w:r>
          </w:p>
          <w:p>
            <w:r>
              <w:rPr>
                <w:rStyle w:val="row-content"/>
                <w:b/>
              </w:rPr>
              <w:t xml:space="preserve">Data Source</w:t>
            </w:r>
          </w:p>
          <w:p>
            <w:hyperlink w:history="true" r:id="Re1668f1af66c4886">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Episode of admitted patient care—separation date</w:t>
            </w:r>
          </w:p>
          <w:p>
            <w:r>
              <w:rPr>
                <w:rStyle w:val="row-content"/>
              </w:rPr>
              <w:t xml:space="preserve"> </w:t>
            </w:r>
          </w:p>
          <w:p>
            <w:r>
              <w:rPr>
                <w:rStyle w:val="row-content"/>
                <w:b/>
              </w:rPr>
              <w:t xml:space="preserve">Data Source</w:t>
            </w:r>
          </w:p>
          <w:p>
            <w:hyperlink w:history="true" r:id="Rf754447e08a04bcd">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w:t>
            </w:r>
            <w:r>
              <w:rPr>
                <w:rStyle w:val="row-content"/>
                <w:i/>
              </w:rPr>
              <w:t xml:space="preserve">Staphylococcus aureus</w:t>
            </w:r>
            <w:r>
              <w:rPr>
                <w:rStyle w:val="row-content"/>
              </w:rPr>
              <w:t xml:space="preserve"> bacteraemia surveillance indicator</w:t>
            </w:r>
          </w:p>
          <w:p>
            <w:r>
              <w:rPr>
                <w:rStyle w:val="row-content"/>
              </w:rPr>
              <w:t xml:space="preserve"> </w:t>
            </w:r>
          </w:p>
          <w:p>
            <w:r>
              <w:rPr>
                <w:rStyle w:val="row-content"/>
                <w:b/>
              </w:rPr>
              <w:t xml:space="preserve">Data Source</w:t>
            </w:r>
          </w:p>
          <w:p>
            <w:hyperlink w:history="true" r:id="R6eb4f7d14d934f00">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Establishment—organisation identifier (Australian)</w:t>
            </w:r>
          </w:p>
          <w:p>
            <w:r>
              <w:rPr>
                <w:rStyle w:val="row-content"/>
              </w:rPr>
              <w:t xml:space="preserve"> </w:t>
            </w:r>
          </w:p>
          <w:p>
            <w:r>
              <w:rPr>
                <w:rStyle w:val="row-content"/>
                <w:b/>
              </w:rPr>
              <w:t xml:space="preserve">Data Source</w:t>
            </w:r>
          </w:p>
          <w:p>
            <w:hyperlink w:history="true" r:id="Ra7cfb0fce05c471c">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 (updated for resupplied data), 2018–19—State and territory, by:</w:t>
            </w:r>
          </w:p>
          <w:p>
            <w:pPr>
              <w:pStyle w:val="ListParagraph"/>
              <w:numPr>
                <w:ilvl w:val="0"/>
                <w:numId w:val="3"/>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rPr>
              <w:t xml:space="preserve">Data Source</w:t>
            </w:r>
          </w:p>
          <w:p>
            <w:hyperlink w:history="true" r:id="R563a886f4e8f4970">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rPr>
              <w:t xml:space="preserve"> </w:t>
            </w:r>
          </w:p>
          <w:p>
            <w:r>
              <w:rPr>
                <w:rStyle w:val="row-content"/>
                <w:b/>
              </w:rPr>
              <w:t xml:space="preserve">Data Source</w:t>
            </w:r>
          </w:p>
          <w:p>
            <w:hyperlink w:history="true" r:id="Rb07c3d14a3414d13">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2018–19.</w:t>
            </w:r>
          </w:p>
          <w:p>
            <w:pPr>
              <w:spacing w:after="160"/>
            </w:pPr>
            <w:r>
              <w:rPr>
                <w:rStyle w:val="row-content-rich-text"/>
              </w:rPr>
              <w:t xml:space="preserve">Baseline: 2009–10.</w:t>
            </w:r>
          </w:p>
          <w:p>
            <w:pPr>
              <w:spacing w:after="160"/>
            </w:pPr>
            <w:r>
              <w:rPr>
                <w:rStyle w:val="row-content-rich-text"/>
              </w:rPr>
              <w:t xml:space="preserve">The number of SAB patient episodes associated with acute public hospitals under surveillance includes SAB patient episodes associated with all public hospitals, and the number of patient days for public acute care hospitals under surveillance includes the number of patient days for all public hospitals under surveillance.</w:t>
            </w:r>
          </w:p>
          <w:p>
            <w:pPr>
              <w:spacing w:after="160"/>
            </w:pPr>
            <w:r>
              <w:rPr>
                <w:rStyle w:val="row-content-rich-text"/>
              </w:rPr>
              <w:t xml:space="preserve">For some states and territories there is less than 100%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the state or territory.</w:t>
            </w:r>
          </w:p>
          <w:p>
            <w:pPr>
              <w:spacing w:after="160"/>
            </w:pPr>
            <w:r>
              <w:rPr>
                <w:rStyle w:val="row-content-rich-text"/>
              </w:rPr>
              <w:t xml:space="preserve">Some states operated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patient episodes are reported whether they were associated with admitted patient care or non-admitted patient care in public acute care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the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for 2010–11, 2011–12, 2012–13, 2013–14 and 2014–15 are reported according to the previous neutropenia criterion:</w:t>
            </w:r>
          </w:p>
          <w:p>
            <w:pPr>
              <w:pStyle w:val="ListParagraph"/>
              <w:numPr>
                <w:ilvl w:val="0"/>
                <w:numId w:val="4"/>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for 2015–16, 2016–17, 2017–18 and 2018–19 are reported according to the new neutropenia criterion:</w:t>
            </w:r>
          </w:p>
          <w:p>
            <w:pPr>
              <w:pStyle w:val="ListParagraph"/>
              <w:numPr>
                <w:ilvl w:val="0"/>
                <w:numId w:val="5"/>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85dde0fbc3048d7">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629804dd4df54a67">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p>
            <w:pPr/>
            <w:r>
              <w:rPr>
                <w:rStyle w:val="row-content-rich-text"/>
              </w:rPr>
              <w:t xml:space="preserve">Refer: </w:t>
            </w:r>
            <w:hyperlink w:history="true" r:id="R4d127a3929814e00">
              <w:r>
                <w:rPr>
                  <w:rStyle w:val="Hyperlink"/>
                </w:rPr>
                <w:t xml:space="preserve">http://www.federalfinancialrelations.gov.au/content/npa/health</w:t>
              </w:r>
              <w:r>
                <w:br/>
              </w:r>
              <w:r>
                <w:rPr>
                  <w:rStyle w:val="row-content-rich-text"/>
                </w:rPr>
                <w:t xml:space="preserve">/_archive/healthcare_national-agreement.pdf</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eed697bc2949b5">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2019</w:t>
              </w:r>
            </w:hyperlink>
          </w:p>
          <w:p>
            <w:pPr>
              <w:spacing w:before="0" w:after="0"/>
            </w:pPr>
            <w:r>
              <w:rPr>
                <w:rStyle w:val="row-content"/>
                <w:color w:val="244061"/>
              </w:rPr>
              <w:t xml:space="preserve">       </w:t>
            </w:r>
            <w:hyperlink w:history="true" r:id="R10c671458dd74741">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d9719882bb504f89">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2021</w:t>
              </w:r>
            </w:hyperlink>
          </w:p>
          <w:p>
            <w:pPr>
              <w:spacing w:before="0" w:after="0"/>
            </w:pPr>
            <w:r>
              <w:rPr>
                <w:rStyle w:val="row-content"/>
                <w:color w:val="244061"/>
              </w:rPr>
              <w:t xml:space="preserve">       </w:t>
            </w:r>
            <w:hyperlink w:history="true" r:id="Ra81921b1ff864067">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56442d3185be4d4e">
              <w:r>
                <w:rPr>
                  <w:rStyle w:val="Hyperlink"/>
                </w:rPr>
                <w:t xml:space="preserve">National Healthcare Agreement: PI 22–Healthcare associated infections: Staphylococcus aureus bacteraemia, 2020</w:t>
              </w:r>
            </w:hyperlink>
          </w:p>
          <w:p>
            <w:pPr>
              <w:spacing w:before="0" w:after="0"/>
            </w:pPr>
            <w:r>
              <w:rPr>
                <w:rStyle w:val="row-content"/>
                <w:color w:val="244061"/>
              </w:rPr>
              <w:t xml:space="preserve">       </w:t>
            </w:r>
            <w:hyperlink w:history="true" r:id="Re1ceef8e53524ac9">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820c713b5c3e41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716267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aceebe0e1d40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0c713b5c3e4168" /><Relationship Type="http://schemas.openxmlformats.org/officeDocument/2006/relationships/header" Target="/word/header1.xml" Id="R3c754d5626284410" /><Relationship Type="http://schemas.openxmlformats.org/officeDocument/2006/relationships/settings" Target="/word/settings.xml" Id="R542070374ca14c8d" /><Relationship Type="http://schemas.openxmlformats.org/officeDocument/2006/relationships/styles" Target="/word/styles.xml" Id="R9aa5d8d513354beb" /><Relationship Type="http://schemas.openxmlformats.org/officeDocument/2006/relationships/hyperlink" Target="https://meteor.aihw.gov.au/RegistrationAuthority/12" TargetMode="External" Id="R9b35a3dffb704804" /><Relationship Type="http://schemas.openxmlformats.org/officeDocument/2006/relationships/hyperlink" Target="https://meteor.aihw.gov.au/content/716246" TargetMode="External" Id="R23f0241dda4345d7" /><Relationship Type="http://schemas.openxmlformats.org/officeDocument/2006/relationships/hyperlink" Target="https://meteor.aihw.gov.au/RegistrationAuthority/12" TargetMode="External" Id="Raa6cc43a1ef0434d" /><Relationship Type="http://schemas.openxmlformats.org/officeDocument/2006/relationships/hyperlink" Target="https://meteor.aihw.gov.au/content/393487" TargetMode="External" Id="R9f4b906c93774af1" /><Relationship Type="http://schemas.openxmlformats.org/officeDocument/2006/relationships/hyperlink" Target="https://meteor.aihw.gov.au/RegistrationAuthority/12" TargetMode="External" Id="Rc687eb48ac49485e" /><Relationship Type="http://schemas.openxmlformats.org/officeDocument/2006/relationships/hyperlink" Target="https://meteor.aihw.gov.au/RegistrationAuthority/8" TargetMode="External" Id="R6808677344784b16" /><Relationship Type="http://schemas.openxmlformats.org/officeDocument/2006/relationships/hyperlink" Target="https://meteor.aihw.gov.au/content/590503" TargetMode="External" Id="R513c3e2aca7b4885" /><Relationship Type="http://schemas.openxmlformats.org/officeDocument/2006/relationships/numbering" Target="/word/numbering.xml" Id="Raf753f73ce624fc5" /><Relationship Type="http://schemas.openxmlformats.org/officeDocument/2006/relationships/hyperlink" Target="https://meteor.aihw.gov.au/content/270045" TargetMode="External" Id="R65d877a1f30446c3" /><Relationship Type="http://schemas.openxmlformats.org/officeDocument/2006/relationships/hyperlink" Target="https://meteor.aihw.gov.au/content/402699" TargetMode="External" Id="Rbadd494f2a934f4c" /><Relationship Type="http://schemas.openxmlformats.org/officeDocument/2006/relationships/hyperlink" Target="https://meteor.aihw.gov.au/content/402699" TargetMode="External" Id="R7bd0a3e0261f426e" /><Relationship Type="http://schemas.openxmlformats.org/officeDocument/2006/relationships/hyperlink" Target="https://meteor.aihw.gov.au/content/426458" TargetMode="External" Id="Re1668f1af66c4886" /><Relationship Type="http://schemas.openxmlformats.org/officeDocument/2006/relationships/hyperlink" Target="https://meteor.aihw.gov.au/content/426458" TargetMode="External" Id="Rf754447e08a04bcd" /><Relationship Type="http://schemas.openxmlformats.org/officeDocument/2006/relationships/hyperlink" Target="https://meteor.aihw.gov.au/content/426458" TargetMode="External" Id="R6eb4f7d14d934f00" /><Relationship Type="http://schemas.openxmlformats.org/officeDocument/2006/relationships/hyperlink" Target="https://meteor.aihw.gov.au/content/426458" TargetMode="External" Id="Ra7cfb0fce05c471c" /><Relationship Type="http://schemas.openxmlformats.org/officeDocument/2006/relationships/hyperlink" Target="https://meteor.aihw.gov.au/content/402699" TargetMode="External" Id="R563a886f4e8f4970" /><Relationship Type="http://schemas.openxmlformats.org/officeDocument/2006/relationships/hyperlink" Target="https://meteor.aihw.gov.au/content/402699" TargetMode="External" Id="Rb07c3d14a3414d13" /><Relationship Type="http://schemas.openxmlformats.org/officeDocument/2006/relationships/hyperlink" Target="https://meteor.aihw.gov.au/content/426458" TargetMode="External" Id="R785dde0fbc3048d7" /><Relationship Type="http://schemas.openxmlformats.org/officeDocument/2006/relationships/hyperlink" Target="https://meteor.aihw.gov.au/content/402699" TargetMode="External" Id="R629804dd4df54a67" /><Relationship Type="http://schemas.openxmlformats.org/officeDocument/2006/relationships/hyperlink" Target="http://www.federalfinancialrelations.gov.au/content/npa/health/_archive/healthcare_national-agreement.pdf" TargetMode="External" Id="R4d127a3929814e00" /><Relationship Type="http://schemas.openxmlformats.org/officeDocument/2006/relationships/hyperlink" Target="https://meteor.aihw.gov.au/content/698940" TargetMode="External" Id="Rdfeed697bc2949b5" /><Relationship Type="http://schemas.openxmlformats.org/officeDocument/2006/relationships/hyperlink" Target="https://meteor.aihw.gov.au/RegistrationAuthority/12" TargetMode="External" Id="R10c671458dd74741" /><Relationship Type="http://schemas.openxmlformats.org/officeDocument/2006/relationships/hyperlink" Target="https://meteor.aihw.gov.au/content/725830" TargetMode="External" Id="Rd9719882bb504f89" /><Relationship Type="http://schemas.openxmlformats.org/officeDocument/2006/relationships/hyperlink" Target="https://meteor.aihw.gov.au/RegistrationAuthority/12" TargetMode="External" Id="Ra81921b1ff864067" /><Relationship Type="http://schemas.openxmlformats.org/officeDocument/2006/relationships/hyperlink" Target="https://meteor.aihw.gov.au/content/716702" TargetMode="External" Id="R56442d3185be4d4e" /><Relationship Type="http://schemas.openxmlformats.org/officeDocument/2006/relationships/hyperlink" Target="https://meteor.aihw.gov.au/RegistrationAuthority/12" TargetMode="External" Id="Re1ceef8e53524ac9" /></Relationships>
</file>

<file path=word/_rels/header1.xml.rels>&#65279;<?xml version="1.0" encoding="utf-8"?><Relationships xmlns="http://schemas.openxmlformats.org/package/2006/relationships"><Relationship Type="http://schemas.openxmlformats.org/officeDocument/2006/relationships/image" Target="/media/image.png" Id="R00aceebe0e1d40d8" /></Relationships>
</file>