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d179ce470b4d6e"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1.2.2–Children exposed to tobacco smoke in the home,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1.2.2–Children exposed to tobacco smoke in the home,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1.2.2–Children exposed to tobacco smoke in the home,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1d56cd57e4734">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dependent children (aged 0–14) where someone reports living with a smoker who smokes daily inside the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Second-hand smoke can cause lung cancer and heart disease deaths to non-smokers. Second-hand smoke can be especially harmful to children's health because their lungs are still developing.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1478ecf78ab4dc8">
              <w:r>
                <w:rPr>
                  <w:rStyle w:val="Hyperlink"/>
                </w:rPr>
                <w:t xml:space="preserve">Australian Health Performance Framework, 2019</w:t>
              </w:r>
            </w:hyperlink>
          </w:p>
          <w:p>
            <w:pPr>
              <w:spacing w:before="0" w:after="0"/>
            </w:pPr>
            <w:r>
              <w:rPr>
                <w:rStyle w:val="row-content"/>
                <w:color w:val="244061"/>
              </w:rPr>
              <w:t xml:space="preserve">       </w:t>
            </w:r>
            <w:hyperlink w:history="true" r:id="R752c4ffd18fe4769">
              <w:r>
                <w:rPr>
                  <w:rStyle w:val="Hyperlink"/>
                  <w:color w:val="244061"/>
                </w:rPr>
                <w:t xml:space="preserve">Health</w:t>
              </w:r>
            </w:hyperlink>
            <w:r>
              <w:rPr>
                <w:rStyle w:val="row-content"/>
                <w:color w:val="244061"/>
              </w:rPr>
              <w:t xml:space="preserve">, Superseded 13/10/2021</w:t>
            </w:r>
          </w:p>
          <w:p>
            <w:r>
              <w:br/>
            </w:r>
            <w:hyperlink w:history="true" r:id="R3ce2935e9f9b4b17">
              <w:r>
                <w:rPr>
                  <w:rStyle w:val="Hyperlink"/>
                </w:rPr>
                <w:t xml:space="preserve">Australian Health Performance Framework, 2019</w:t>
              </w:r>
            </w:hyperlink>
          </w:p>
          <w:p>
            <w:pPr>
              <w:spacing w:before="0" w:after="0"/>
            </w:pPr>
            <w:r>
              <w:rPr>
                <w:rStyle w:val="row-content"/>
                <w:color w:val="244061"/>
              </w:rPr>
              <w:t xml:space="preserve">       </w:t>
            </w:r>
            <w:hyperlink w:history="true" r:id="R33f279784bd84c00">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households with children aged 0–14 where someone smokes at least one cigarette, cigar or pipe of tobacco per day inside the home.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 for households (percentage is not age standardised). 95% confidence intervals and relative standard errors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w:t>
            </w:r>
            <w:r>
              <w:rPr>
                <w:rStyle w:val="row-content-rich-text"/>
              </w:rPr>
              <w:t xml:space="preserve">×</w:t>
            </w:r>
            <w:r>
              <w:rPr>
                <w:rStyle w:val="row-content-rich-text"/>
              </w:rPr>
              <w:t xml:space="preserve"> </w:t>
            </w:r>
            <w:r>
              <w:rPr>
                <w:rStyle w:val="row-content-rich-text"/>
              </w:rPr>
              <w:t xml:space="preserve">(Numerator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dependent children aged 0–14 with a household member who smokes daily inside a home (as reported by a member of that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7c547eac5bf14985">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69c3655c3fe8402b">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households with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households with dependent children aged 0–14</w:t>
            </w:r>
          </w:p>
          <w:p>
            <w:r>
              <w:rPr>
                <w:rStyle w:val="row-content"/>
              </w:rPr>
              <w:t xml:space="preserve"> </w:t>
            </w:r>
          </w:p>
          <w:p>
            <w:r>
              <w:rPr>
                <w:rStyle w:val="row-content"/>
                <w:b/>
              </w:rPr>
              <w:t xml:space="preserve">Data Source</w:t>
            </w:r>
          </w:p>
          <w:p>
            <w:hyperlink w:history="true" r:id="Rb093276b03714312">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2001, 2004, 2007, 2010, 2013, 2016—Nationally, by exposure status (Someone smokes inside the home, Someone only smokes outside the home, No one at home regularly smokes) and:</w:t>
            </w:r>
          </w:p>
          <w:p>
            <w:pPr>
              <w:pStyle w:val="ListParagraph"/>
              <w:numPr>
                <w:ilvl w:val="0"/>
                <w:numId w:val="2"/>
              </w:numPr>
            </w:pPr>
            <w:r>
              <w:rPr>
                <w:rStyle w:val="row-content-rich-text"/>
              </w:rPr>
              <w:t xml:space="preserve">Remoteness (Australian Statistical Geography Standard (ASGS) 2016 Remoteness Structure) (Major cities, Inner regional, Outer regional, Remote/Very remote)</w:t>
            </w:r>
          </w:p>
          <w:p>
            <w:pPr>
              <w:pStyle w:val="ListParagraph"/>
              <w:numPr>
                <w:ilvl w:val="0"/>
                <w:numId w:val="2"/>
              </w:numPr>
            </w:pPr>
            <w:r>
              <w:rPr>
                <w:rStyle w:val="row-content-rich-text"/>
              </w:rPr>
              <w:t xml:space="preserve">2016 SEIFA IRSD quintiles.</w:t>
            </w:r>
          </w:p>
          <w:p>
            <w:pPr>
              <w:spacing w:after="160"/>
            </w:pPr>
            <w:r>
              <w:rPr>
                <w:rStyle w:val="row-content-rich-text"/>
              </w:rPr>
              <w:t xml:space="preserve">State and territory, by:</w:t>
            </w:r>
          </w:p>
          <w:p>
            <w:pPr>
              <w:pStyle w:val="ListParagraph"/>
              <w:numPr>
                <w:ilvl w:val="0"/>
                <w:numId w:val="3"/>
              </w:numPr>
            </w:pPr>
            <w:r>
              <w:rPr>
                <w:rStyle w:val="row-content-rich-text"/>
              </w:rPr>
              <w:t xml:space="preserve">Exposure status (Someone smokes inside the home, Someone only smokes outside the home, No one at home regularly smokes)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Dwelling—geographic remoteness</w:t>
            </w:r>
          </w:p>
          <w:p>
            <w:r>
              <w:rPr>
                <w:rStyle w:val="row-content"/>
              </w:rPr>
              <w:t xml:space="preserve"> </w:t>
            </w:r>
          </w:p>
          <w:p>
            <w:r>
              <w:rPr>
                <w:rStyle w:val="row-content"/>
                <w:b/>
              </w:rPr>
              <w:t xml:space="preserve">Data Source</w:t>
            </w:r>
          </w:p>
          <w:p>
            <w:hyperlink w:history="true" r:id="R9c010fad42f5461c">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Household—statistical area level 1 (SA1) code (ASGS 2011)</w:t>
            </w:r>
          </w:p>
          <w:p>
            <w:r>
              <w:rPr>
                <w:rStyle w:val="row-content"/>
              </w:rPr>
              <w:t xml:space="preserve"> </w:t>
            </w:r>
          </w:p>
          <w:p>
            <w:r>
              <w:rPr>
                <w:rStyle w:val="row-content"/>
                <w:b/>
              </w:rPr>
              <w:t xml:space="preserve">Data Source</w:t>
            </w:r>
          </w:p>
          <w:p>
            <w:hyperlink w:history="true" r:id="R30c133ede3b740c0">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to produce disaggregations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Tobacco smoke exposure status within household</w:t>
            </w:r>
          </w:p>
          <w:p>
            <w:r>
              <w:rPr>
                <w:rStyle w:val="row-content"/>
              </w:rPr>
              <w:t xml:space="preserve"> </w:t>
            </w:r>
          </w:p>
          <w:p>
            <w:r>
              <w:rPr>
                <w:rStyle w:val="row-content"/>
                <w:b/>
              </w:rPr>
              <w:t xml:space="preserve">Data Source</w:t>
            </w:r>
          </w:p>
          <w:p>
            <w:hyperlink w:history="true" r:id="R8772699f75984200">
              <w:r>
                <w:rPr>
                  <w:rStyle w:val="Hyperlink"/>
                </w:rPr>
                <w:t xml:space="preserve">AIHW National Drug Strategy Household Survey</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2016.</w:t>
            </w:r>
          </w:p>
          <w:p>
            <w:pPr>
              <w:spacing w:after="160"/>
            </w:pPr>
            <w:r>
              <w:rPr>
                <w:rStyle w:val="row-content-rich-text"/>
              </w:rPr>
              <w:t xml:space="preserve">Data for 2001, 2004, 2007, 2010 and 2013 were obtained from the AIHW National Drug Strategy Household Survey (NDSHS) run in respect of these years. Similar data elements were used to those listed above for the 2016 NDSHS.</w:t>
            </w:r>
          </w:p>
          <w:p>
            <w:pPr>
              <w:spacing w:after="160"/>
            </w:pPr>
            <w:r>
              <w:rPr>
                <w:rStyle w:val="row-content-rich-text"/>
              </w:rPr>
              <w:t xml:space="preserve">The SEIFA Index of Relative Socio-Economic Disadvantage (IRSD) has been used for this indicator. However, the SEIFA Index of Relative Socio-Economic Advantage and Disadvantage (IRSAD) is usually used for reporting data by socio-economic area in the NDSHS.</w:t>
            </w:r>
          </w:p>
          <w:p>
            <w:pPr>
              <w:spacing w:after="160"/>
            </w:pPr>
            <w:r>
              <w:rPr>
                <w:rStyle w:val="row-content-rich-text"/>
              </w:rPr>
              <w:t xml:space="preserve">Indigenous estimates are not provided because the NDSHS is not specifically designed to obtain reliable national estimates for Aboriginal and Torres Strait Islander people. In the 2016 NDSHS 2.4% of the sample (or approximately 568 respondents) identified as being of Aboriginal and/or Torres Strait Islander origin. Practicality of the survey design meant that some Aboriginal communities and those with low levels of English literacy were excluded. The exclusion of these communities makes it difficult to generalise the results in the NDSHS to the whole Indigenous population.</w:t>
            </w:r>
          </w:p>
          <w:p>
            <w:pPr/>
            <w:r>
              <w:rPr>
                <w:rStyle w:val="row-content-rich-text"/>
              </w:rPr>
              <w:t xml:space="preserve">Age and sex disaggregations are not available as the data are based on the household, not the respondent.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624dde75334aa5">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740bd25c634965">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Surveyed respondents are persons aged 12 and over living in a private residence. Respondents are asked if the residence includes children aged 14 or less, and if so, whether the residents include someone who smokes inside the home, someone who only smokes outside the home, or no one at home who regularly smokes.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results are from the 2016 survey. The 2019 survey has been conducted but the data are not yet available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a950ab3ca04dac">
              <w:r>
                <w:rPr>
                  <w:rStyle w:val="Hyperlink"/>
                </w:rPr>
                <w:t xml:space="preserve">Australian Health Performance Framework: PI 1.2.2–Children exposed to tobacco smoke in the home, 2020</w:t>
              </w:r>
            </w:hyperlink>
          </w:p>
          <w:p>
            <w:pPr>
              <w:spacing w:before="0" w:after="0"/>
            </w:pPr>
            <w:r>
              <w:rPr>
                <w:rStyle w:val="row-content"/>
                <w:color w:val="244061"/>
              </w:rPr>
              <w:t xml:space="preserve">       </w:t>
            </w:r>
            <w:hyperlink w:history="true" r:id="R211ec581f95349be">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079ed79a8638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715401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bd6b3f20af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ed79a86384190" /><Relationship Type="http://schemas.openxmlformats.org/officeDocument/2006/relationships/header" Target="/word/header1.xml" Id="R0e69b7b7282d4019" /><Relationship Type="http://schemas.openxmlformats.org/officeDocument/2006/relationships/settings" Target="/word/settings.xml" Id="R932dd7245998499a" /><Relationship Type="http://schemas.openxmlformats.org/officeDocument/2006/relationships/styles" Target="/word/styles.xml" Id="R861e99ec6f604001" /><Relationship Type="http://schemas.openxmlformats.org/officeDocument/2006/relationships/hyperlink" Target="https://meteor.aihw.gov.au/RegistrationAuthority/12" TargetMode="External" Id="Rbf11d56cd57e4734" /><Relationship Type="http://schemas.openxmlformats.org/officeDocument/2006/relationships/hyperlink" Target="https://meteor.aihw.gov.au/content/715015" TargetMode="External" Id="R71478ecf78ab4dc8" /><Relationship Type="http://schemas.openxmlformats.org/officeDocument/2006/relationships/hyperlink" Target="https://meteor.aihw.gov.au/RegistrationAuthority/12" TargetMode="External" Id="R752c4ffd18fe4769" /><Relationship Type="http://schemas.openxmlformats.org/officeDocument/2006/relationships/hyperlink" Target="https://meteor.aihw.gov.au/content/715015" TargetMode="External" Id="R3ce2935e9f9b4b17" /><Relationship Type="http://schemas.openxmlformats.org/officeDocument/2006/relationships/hyperlink" Target="https://meteor.aihw.gov.au/RegistrationAuthority/12" TargetMode="External" Id="R33f279784bd84c00" /><Relationship Type="http://schemas.openxmlformats.org/officeDocument/2006/relationships/hyperlink" Target="https://meteor.aihw.gov.au/content/656975" TargetMode="External" Id="R7c547eac5bf14985" /><Relationship Type="http://schemas.openxmlformats.org/officeDocument/2006/relationships/hyperlink" Target="https://meteor.aihw.gov.au/content/656975" TargetMode="External" Id="R69c3655c3fe8402b" /><Relationship Type="http://schemas.openxmlformats.org/officeDocument/2006/relationships/hyperlink" Target="https://meteor.aihw.gov.au/content/656975" TargetMode="External" Id="Rb093276b03714312" /><Relationship Type="http://schemas.openxmlformats.org/officeDocument/2006/relationships/numbering" Target="/word/numbering.xml" Id="R9166e7e464f94de9" /><Relationship Type="http://schemas.openxmlformats.org/officeDocument/2006/relationships/hyperlink" Target="https://meteor.aihw.gov.au/content/656975" TargetMode="External" Id="R9c010fad42f5461c" /><Relationship Type="http://schemas.openxmlformats.org/officeDocument/2006/relationships/hyperlink" Target="https://meteor.aihw.gov.au/content/656975" TargetMode="External" Id="R30c133ede3b740c0" /><Relationship Type="http://schemas.openxmlformats.org/officeDocument/2006/relationships/hyperlink" Target="https://meteor.aihw.gov.au/content/656975" TargetMode="External" Id="R8772699f75984200" /><Relationship Type="http://schemas.openxmlformats.org/officeDocument/2006/relationships/hyperlink" Target="https://meteor.aihw.gov.au/content/721637" TargetMode="External" Id="R7a624dde75334aa5" /><Relationship Type="http://schemas.openxmlformats.org/officeDocument/2006/relationships/hyperlink" Target="https://meteor.aihw.gov.au/content/656975" TargetMode="External" Id="R15740bd25c634965" /><Relationship Type="http://schemas.openxmlformats.org/officeDocument/2006/relationships/hyperlink" Target="https://meteor.aihw.gov.au/content/728294" TargetMode="External" Id="Rbca950ab3ca04dac" /><Relationship Type="http://schemas.openxmlformats.org/officeDocument/2006/relationships/hyperlink" Target="https://meteor.aihw.gov.au/RegistrationAuthority/12" TargetMode="External" Id="R211ec581f95349be" /></Relationships>
</file>

<file path=word/_rels/header1.xml.rels>&#65279;<?xml version="1.0" encoding="utf-8"?><Relationships xmlns="http://schemas.openxmlformats.org/package/2006/relationships"><Relationship Type="http://schemas.openxmlformats.org/officeDocument/2006/relationships/image" Target="/media/image.png" Id="Rc2bd6b3f20af41da" /></Relationships>
</file>