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cbd508d3084d5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3.1.4–Incidence of end-stage kidney disease,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3.1.4–Incidence of end-stage kidney disease,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3.1.4–Incidence of end-stage kidney disease,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de2df577a48a5">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cases of treated end-stage kidney disease (ESKD) plus number of individuals who died with: an underlying cause of death of ‘chronic kidney failure’, ‘hypertensive kidney failure’ or ‘unspecified kidney failure’; or an associated cause of death of ‘chronic renal failure, end-stage’, and did not receive dialysis or transplant treatment (untreated cases),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b0d6c65b634970">
              <w:r>
                <w:rPr>
                  <w:rStyle w:val="Hyperlink"/>
                </w:rPr>
                <w:t xml:space="preserve">Australian Health Performance Framework, 2019</w:t>
              </w:r>
            </w:hyperlink>
          </w:p>
          <w:p>
            <w:pPr>
              <w:spacing w:before="0" w:after="0"/>
            </w:pPr>
            <w:r>
              <w:rPr>
                <w:rStyle w:val="row-content"/>
                <w:color w:val="244061"/>
              </w:rPr>
              <w:t xml:space="preserve">       </w:t>
            </w:r>
            <w:hyperlink w:history="true" r:id="R535c2ffe99f24d8a">
              <w:r>
                <w:rPr>
                  <w:rStyle w:val="Hyperlink"/>
                  <w:color w:val="244061"/>
                </w:rPr>
                <w:t xml:space="preserve">Health</w:t>
              </w:r>
            </w:hyperlink>
            <w:r>
              <w:rPr>
                <w:rStyle w:val="row-content"/>
                <w:color w:val="244061"/>
              </w:rPr>
              <w:t xml:space="preserve">, Superseded 13/10/2021</w:t>
            </w:r>
          </w:p>
          <w:p>
            <w:r>
              <w:br/>
            </w:r>
            <w:hyperlink w:history="true" r:id="R90a105c30381417b">
              <w:r>
                <w:rPr>
                  <w:rStyle w:val="Hyperlink"/>
                </w:rPr>
                <w:t xml:space="preserve">Australian Health Performance Framework, 2019</w:t>
              </w:r>
            </w:hyperlink>
          </w:p>
          <w:p>
            <w:pPr>
              <w:spacing w:before="0" w:after="0"/>
            </w:pPr>
            <w:r>
              <w:rPr>
                <w:rStyle w:val="row-content"/>
                <w:color w:val="244061"/>
              </w:rPr>
              <w:t xml:space="preserve">       </w:t>
            </w:r>
            <w:hyperlink w:history="true" r:id="Rcdfb5af346854e7f">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N18.5, N18.8, N18.9), 'hypertensive renal failure' (ICD-10 codes I12.0, I13.1, I13.2) or 'unspecified renal failure' (ICD-10 code N19.0) as an underlying cause of death or 'chronic renal failure, end-stage' (ICD-10 code N18.0, N18.5) as an associated cause of death. The 2016 version of ICD-10 is used for data in respect of 2010 and later years, while the 2008 version is used for data prior to 2010.</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40e15e848e6413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(for entity and record axis data (ICD-10) ANN{.N}</w:t>
            </w:r>
          </w:p>
          <w:p>
            <w:r>
              <w:rPr>
                <w:rStyle w:val="row-content"/>
              </w:rPr>
              <w:t xml:space="preserve"> </w:t>
            </w:r>
          </w:p>
          <w:p>
            <w:r>
              <w:rPr>
                <w:rStyle w:val="row-content"/>
                <w:b/>
              </w:rPr>
              <w:t xml:space="preserve">Data Source</w:t>
            </w:r>
          </w:p>
          <w:p>
            <w:hyperlink w:history="true" r:id="Rca1e24ee74654c8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Each multiple cause of death is assigned from the original death certificate after processing according to the coding rules of ICD-10. The multiple causes of death collectively become the Record Axis Data (multiple cause data). The original codes and code order detailed on the death certificate, before coding to by the ICD-10 rules are maintained in the Entity Axis Data.</w:t>
            </w:r>
          </w:p>
          <w:p>
            <w:r>
              <w:rPr>
                <w:rStyle w:val="row-content"/>
              </w:rPr>
              <w:t xml:space="preserve">Underlying cause of death: ICD-10 codes N18.0, N18.5, N18.8, N18.9, I12.0, I13.1, I13.2, N19.0</w:t>
            </w:r>
            <w:r>
              <w:br/>
            </w:r>
            <w:r>
              <w:rPr>
                <w:rStyle w:val="row-content"/>
              </w:rPr>
              <w:t xml:space="preserve">Associated cause of death: ICD-10 codes N18.0, N18.5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number NN</w:t>
            </w:r>
          </w:p>
          <w:p>
            <w:r>
              <w:rPr>
                <w:rStyle w:val="row-content"/>
              </w:rPr>
              <w:t xml:space="preserve"> </w:t>
            </w:r>
          </w:p>
          <w:p>
            <w:r>
              <w:rPr>
                <w:rStyle w:val="row-content"/>
                <w:b/>
              </w:rPr>
              <w:t xml:space="preserve">Data Source</w:t>
            </w:r>
          </w:p>
          <w:p>
            <w:hyperlink w:history="true" r:id="R48ed7c39b43646c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1 = underlying cause of death</w:t>
            </w:r>
            <w:r>
              <w:br/>
            </w:r>
            <w:r>
              <w:rPr>
                <w:rStyle w:val="row-content"/>
              </w:rPr>
              <w:t xml:space="preserve">2 to 20 = associated causes of death</w:t>
            </w:r>
            <w:r>
              <w:br/>
            </w:r>
            <w:r>
              <w:rPr>
                <w:rStyle w:val="row-content"/>
              </w:rPr>
              <w:t xml:space="preserve">The cause listed as number 1 should equal the cause listed as the underlying cause of death. All other causes (number 2 to 20) are listed in alphabetical order.</w:t>
            </w:r>
          </w:p>
          <w:p>
            <w:r>
              <w:rPr>
                <w:rStyle w:val="row-content"/>
              </w:rPr>
              <w:t xml:space="preserve"> </w:t>
            </w:r>
          </w:p>
          <w:p>
            <w:r>
              <w:rPr>
                <w:rStyle w:val="row-content"/>
                <w:b/>
                <w:color w:val="000000"/>
              </w:rPr>
              <w:t xml:space="preserve">Data Element / Data Set</w:t>
            </w:r>
          </w:p>
          <w:p>
            <w:hyperlink w:history="true" r:id="Reb09027a8d294764">
              <w:r>
                <w:rPr>
                  <w:rStyle w:val="Hyperlink"/>
                </w:rPr>
                <w:t xml:space="preserve">Person—person identifier, XXXXXX[X(14)]</w:t>
              </w:r>
            </w:hyperlink>
          </w:p>
          <w:p>
            <w:r>
              <w:rPr>
                <w:rStyle w:val="row-content"/>
                <w:b/>
              </w:rPr>
              <w:t xml:space="preserve">Data Source</w:t>
            </w:r>
          </w:p>
          <w:p>
            <w:hyperlink w:history="true" r:id="R46656bae914c4a6c">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w:t>
            </w:r>
          </w:p>
          <w:p>
            <w:r>
              <w:rPr>
                <w:rStyle w:val="row-content"/>
              </w:rPr>
              <w:t xml:space="preserve"> </w:t>
            </w:r>
          </w:p>
          <w:p>
            <w:r>
              <w:rPr>
                <w:rStyle w:val="row-content"/>
                <w:b/>
              </w:rPr>
              <w:t xml:space="preserve">Data Source</w:t>
            </w:r>
          </w:p>
          <w:p>
            <w:hyperlink w:history="true" r:id="R0bc9adf0e2c84fa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Data from 2012 onwards are population projections</w:t>
            </w:r>
          </w:p>
          <w:p>
            <w:r>
              <w:rPr>
                <w:rStyle w:val="row-content"/>
              </w:rPr>
              <w:t xml:space="preserve"> </w:t>
            </w:r>
          </w:p>
          <w:p>
            <w:r>
              <w:rPr>
                <w:rStyle w:val="row-content"/>
                <w:b/>
                <w:color w:val="000000"/>
              </w:rPr>
              <w:t xml:space="preserve">Data Element / Data Set</w:t>
            </w:r>
          </w:p>
          <w:p>
            <w:hyperlink w:history="true" r:id="R057918cc16b247bd">
              <w:r>
                <w:rPr>
                  <w:rStyle w:val="Hyperlink"/>
                </w:rPr>
                <w:t xml:space="preserve">Person—estimated resident population of Australia, total people N[N(7)]</w:t>
              </w:r>
            </w:hyperlink>
          </w:p>
          <w:p>
            <w:r>
              <w:rPr>
                <w:rStyle w:val="row-content"/>
                <w:b/>
              </w:rPr>
              <w:t xml:space="preserve">Data Source</w:t>
            </w:r>
          </w:p>
          <w:p>
            <w:hyperlink w:history="true" r:id="R13ccfab0cc01499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1997–2013—Nationally, by:</w:t>
            </w:r>
          </w:p>
          <w:p>
            <w:pPr>
              <w:pStyle w:val="ListParagraph"/>
              <w:numPr>
                <w:ilvl w:val="0"/>
                <w:numId w:val="2"/>
              </w:numPr>
            </w:pPr>
            <w:r>
              <w:rPr>
                <w:rStyle w:val="row-content-rich-text"/>
              </w:rPr>
              <w:t xml:space="preserve">Age group (0–54, 55–64, 65–74, 75+) and sex</w:t>
            </w:r>
          </w:p>
          <w:p>
            <w:pPr>
              <w:pStyle w:val="ListParagraph"/>
              <w:numPr>
                <w:ilvl w:val="0"/>
                <w:numId w:val="2"/>
              </w:numPr>
            </w:pPr>
            <w:r>
              <w:rPr>
                <w:rStyle w:val="row-content-rich-text"/>
              </w:rPr>
              <w:t xml:space="preserve">Sex.</w:t>
            </w:r>
          </w:p>
          <w:p>
            <w:pPr>
              <w:spacing w:after="160"/>
            </w:pPr>
            <w:r>
              <w:rPr>
                <w:rStyle w:val="row-content-rich-text"/>
              </w:rPr>
              <w:t xml:space="preserve">2009–2013 (aggregate)—Nationally, by:</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Socio-Economic Indexes for Areas (SEIFA) 2011 Index of Relative Socio-Economic Disadvantage (IRSD) quintile</w:t>
            </w:r>
          </w:p>
          <w:p>
            <w:pPr>
              <w:pStyle w:val="ListParagraph"/>
              <w:numPr>
                <w:ilvl w:val="0"/>
                <w:numId w:val="3"/>
              </w:numPr>
            </w:pPr>
            <w:r>
              <w:rPr>
                <w:rStyle w:val="row-content-rich-text"/>
              </w:rPr>
              <w:t xml:space="preserve">Indigenous status.</w:t>
            </w:r>
          </w:p>
          <w:p>
            <w:pPr>
              <w:spacing w:after="160"/>
            </w:pPr>
            <w:r>
              <w:rPr>
                <w:rStyle w:val="row-content-rich-text"/>
              </w:rPr>
              <w:t xml:space="preserve">Data are presented as rates (number per 100,000 population). Counts are also provided for aggregated data for 2009–2013. Disaggregations by Indigenous status and sex include rate ratios—the 2009–2013 aggregate figures are age-standardised to the Australian population as at 30 June 2001, while the time series from 1999–2012 uses age-standardised rates based on a 3-year moving average between 1998 and 2013.</w:t>
            </w:r>
          </w:p>
          <w:p>
            <w:pPr>
              <w:spacing w:after="160"/>
            </w:pPr>
            <w:r>
              <w:rPr>
                <w:rStyle w:val="row-content-rich-text"/>
              </w:rPr>
              <w:t xml:space="preserve">Aggregated data for 2009–2013 by sex, remoteness and SEIFA IRSD quintile are age-standardised to the Australian population as at 30 June 2001.</w:t>
            </w:r>
          </w:p>
          <w:p>
            <w:pPr/>
            <w:r>
              <w:rPr>
                <w:rStyle w:val="row-content-rich-text"/>
              </w:rPr>
              <w:t xml:space="preserve">Disaggregation by Indigenous status are based on data only from jurisdictions for which the quality of Indigenous identification is considered acceptable—New South Wales (from 1998), Queensland (from 1998), South Australia, Western Australia and the Northern Territory (from 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dd2cf4cf21e4eb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Person—postcode of residence</w:t>
            </w:r>
          </w:p>
          <w:p>
            <w:r>
              <w:rPr>
                <w:rStyle w:val="row-content"/>
              </w:rPr>
              <w:t xml:space="preserve"> </w:t>
            </w:r>
          </w:p>
          <w:p>
            <w:r>
              <w:rPr>
                <w:rStyle w:val="row-content"/>
                <w:b/>
              </w:rPr>
              <w:t xml:space="preserve">Data Source</w:t>
            </w:r>
          </w:p>
          <w:p>
            <w:hyperlink w:history="true" r:id="R80dccb12fdbb4bc1">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cdaf82b777a4be4">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 code NNN</w:t>
            </w:r>
          </w:p>
          <w:p>
            <w:r>
              <w:rPr>
                <w:rStyle w:val="row-content"/>
              </w:rPr>
              <w:t xml:space="preserve"> </w:t>
            </w:r>
          </w:p>
          <w:p>
            <w:r>
              <w:rPr>
                <w:rStyle w:val="row-content"/>
                <w:b/>
              </w:rPr>
              <w:t xml:space="preserve">Data Source</w:t>
            </w:r>
          </w:p>
          <w:p>
            <w:hyperlink w:history="true" r:id="R8196581591684a4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f969c66535437f">
              <w:r>
                <w:rPr>
                  <w:rStyle w:val="Hyperlink"/>
                </w:rPr>
                <w:t xml:space="preserve">Establishment—Australian state/territory identifier, code N</w:t>
              </w:r>
            </w:hyperlink>
          </w:p>
          <w:p>
            <w:r>
              <w:rPr>
                <w:rStyle w:val="row-content"/>
                <w:b/>
              </w:rPr>
              <w:t xml:space="preserve">Data Source</w:t>
            </w:r>
          </w:p>
          <w:p>
            <w:hyperlink w:history="true" r:id="R52ec370c06a7480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95aba836e04283">
              <w:r>
                <w:rPr>
                  <w:rStyle w:val="Hyperlink"/>
                </w:rPr>
                <w:t xml:space="preserve">Person—sex, code N</w:t>
              </w:r>
            </w:hyperlink>
          </w:p>
          <w:p>
            <w:r>
              <w:rPr>
                <w:rStyle w:val="row-content"/>
                <w:b/>
              </w:rPr>
              <w:t xml:space="preserve">Data Source</w:t>
            </w:r>
          </w:p>
          <w:p>
            <w:hyperlink w:history="true" r:id="R573cfc820be8469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f3e1ce8d834ff9">
              <w:r>
                <w:rPr>
                  <w:rStyle w:val="Hyperlink"/>
                </w:rPr>
                <w:t xml:space="preserve">Person—Indigenous status, code N</w:t>
              </w:r>
            </w:hyperlink>
          </w:p>
          <w:p>
            <w:r>
              <w:rPr>
                <w:rStyle w:val="row-content"/>
                <w:b/>
              </w:rPr>
              <w:t xml:space="preserve">Data Source</w:t>
            </w:r>
          </w:p>
          <w:p>
            <w:hyperlink w:history="true" r:id="R0dc9ccdceb3f488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Reporting (comprising linked dataset, linked ANZDATA, AIHW National Mortality Database and National Death Index): 2013.</w:t>
            </w:r>
          </w:p>
          <w:p>
            <w:pPr>
              <w:spacing w:after="160"/>
            </w:pPr>
            <w:r>
              <w:rPr>
                <w:rStyle w:val="row-content-rich-text"/>
              </w:rPr>
              <w:t xml:space="preserve">The most recent AIHW report on end-stage kidney disease is </w:t>
            </w:r>
            <w:hyperlink w:history="true" r:id="Rdd78df6c832e4320">
              <w:r>
                <w:rPr>
                  <w:rStyle w:val="Hyperlink"/>
                  <w:i/>
                </w:rPr>
                <w:t xml:space="preserve">Incidence of end-stage kidney disease in Australia 1997–2013</w:t>
              </w:r>
            </w:hyperlink>
            <w:r>
              <w:rPr>
                <w:rStyle w:val="row-content-rich-text"/>
              </w:rPr>
              <w:t xml:space="preserve"> (AIHW 2016).</w:t>
            </w:r>
          </w:p>
          <w:p>
            <w:pPr>
              <w:spacing w:after="160"/>
            </w:pPr>
            <w:r>
              <w:rPr>
                <w:rStyle w:val="row-content-rich-text"/>
              </w:rPr>
              <w:t xml:space="preserve">Most recent individual datasets available are:</w:t>
            </w:r>
          </w:p>
          <w:p>
            <w:pPr>
              <w:pStyle w:val="ListParagraph"/>
              <w:numPr>
                <w:ilvl w:val="0"/>
                <w:numId w:val="4"/>
              </w:numPr>
            </w:pPr>
            <w:r>
              <w:rPr>
                <w:rStyle w:val="row-content-rich-text"/>
              </w:rPr>
              <w:t xml:space="preserve">2017 ANZDATA and</w:t>
            </w:r>
          </w:p>
          <w:p>
            <w:pPr>
              <w:pStyle w:val="ListParagraph"/>
              <w:numPr>
                <w:ilvl w:val="0"/>
                <w:numId w:val="4"/>
              </w:numPr>
            </w:pPr>
            <w:r>
              <w:rPr>
                <w:rStyle w:val="row-content-rich-text"/>
              </w:rPr>
              <w:t xml:space="preserve">2017 for National Mortality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3c42bb6eef4d9b">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d0c7960a6644c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031209d2299471b">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317b02333a36448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11eb10f6004455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b719beeceb54d2b">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Incidence of end-stage kidney disease in Australia 1997–2013. Cat. no. PHE 211. Canberra: AIHW. </w:t>
            </w:r>
            <w:r>
              <w:rPr>
                <w:rStyle w:val="row-content-rich-text"/>
              </w:rPr>
              <w:t xml:space="preserve">Viewed 12 November 2019, </w:t>
            </w:r>
            <w:hyperlink w:history="true" r:id="R572acf9143f14d33">
              <w:r>
                <w:rPr>
                  <w:rStyle w:val="Hyperlink"/>
                </w:rPr>
                <w:t xml:space="preserve">https://www.aihw.gov.au/reports/chronic-kidney-disease/incidence-of-end-stage-kidney-disease-in-australia-1997-2013/contents/table-of-contents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d1bab9b3fd4db0">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8613e82de5954a25">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876f6c1fad8a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76a50f3bf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f6c1fad8a4991" /><Relationship Type="http://schemas.openxmlformats.org/officeDocument/2006/relationships/header" Target="/word/header1.xml" Id="Rc000e58d90944325" /><Relationship Type="http://schemas.openxmlformats.org/officeDocument/2006/relationships/settings" Target="/word/settings.xml" Id="R3c000e99ff0a4523" /><Relationship Type="http://schemas.openxmlformats.org/officeDocument/2006/relationships/styles" Target="/word/styles.xml" Id="R06e53bcba8614451" /><Relationship Type="http://schemas.openxmlformats.org/officeDocument/2006/relationships/hyperlink" Target="https://meteor.aihw.gov.au/RegistrationAuthority/12" TargetMode="External" Id="R589de2df577a48a5" /><Relationship Type="http://schemas.openxmlformats.org/officeDocument/2006/relationships/hyperlink" Target="https://meteor.aihw.gov.au/content/715015" TargetMode="External" Id="Rc2b0d6c65b634970" /><Relationship Type="http://schemas.openxmlformats.org/officeDocument/2006/relationships/hyperlink" Target="https://meteor.aihw.gov.au/RegistrationAuthority/12" TargetMode="External" Id="R535c2ffe99f24d8a" /><Relationship Type="http://schemas.openxmlformats.org/officeDocument/2006/relationships/hyperlink" Target="https://meteor.aihw.gov.au/content/715015" TargetMode="External" Id="R90a105c30381417b" /><Relationship Type="http://schemas.openxmlformats.org/officeDocument/2006/relationships/hyperlink" Target="https://meteor.aihw.gov.au/RegistrationAuthority/12" TargetMode="External" Id="Rcdfb5af346854e7f" /><Relationship Type="http://schemas.openxmlformats.org/officeDocument/2006/relationships/hyperlink" Target="https://meteor.aihw.gov.au/content/393142" TargetMode="External" Id="Rd40e15e848e6413b" /><Relationship Type="http://schemas.openxmlformats.org/officeDocument/2006/relationships/hyperlink" Target="https://meteor.aihw.gov.au/content/395084" TargetMode="External" Id="Rca1e24ee74654c80" /><Relationship Type="http://schemas.openxmlformats.org/officeDocument/2006/relationships/hyperlink" Target="https://meteor.aihw.gov.au/content/395084" TargetMode="External" Id="R48ed7c39b43646c5" /><Relationship Type="http://schemas.openxmlformats.org/officeDocument/2006/relationships/hyperlink" Target="https://meteor.aihw.gov.au/content/290046" TargetMode="External" Id="Reb09027a8d294764" /><Relationship Type="http://schemas.openxmlformats.org/officeDocument/2006/relationships/hyperlink" Target="https://meteor.aihw.gov.au/content/395083" TargetMode="External" Id="R46656bae914c4a6c" /><Relationship Type="http://schemas.openxmlformats.org/officeDocument/2006/relationships/hyperlink" Target="https://meteor.aihw.gov.au/content/585844" TargetMode="External" Id="R0bc9adf0e2c84faf" /><Relationship Type="http://schemas.openxmlformats.org/officeDocument/2006/relationships/hyperlink" Target="https://meteor.aihw.gov.au/content/388656" TargetMode="External" Id="R057918cc16b247bd" /><Relationship Type="http://schemas.openxmlformats.org/officeDocument/2006/relationships/hyperlink" Target="https://meteor.aihw.gov.au/content/585823" TargetMode="External" Id="R13ccfab0cc014993" /><Relationship Type="http://schemas.openxmlformats.org/officeDocument/2006/relationships/numbering" Target="/word/numbering.xml" Id="R76a627fec55c4856" /><Relationship Type="http://schemas.openxmlformats.org/officeDocument/2006/relationships/hyperlink" Target="https://meteor.aihw.gov.au/content/393142" TargetMode="External" Id="R9dd2cf4cf21e4eb9" /><Relationship Type="http://schemas.openxmlformats.org/officeDocument/2006/relationships/hyperlink" Target="https://meteor.aihw.gov.au/content/393142" TargetMode="External" Id="R80dccb12fdbb4bc1" /><Relationship Type="http://schemas.openxmlformats.org/officeDocument/2006/relationships/hyperlink" Target="https://meteor.aihw.gov.au/content/393142" TargetMode="External" Id="R5cdaf82b777a4be4" /><Relationship Type="http://schemas.openxmlformats.org/officeDocument/2006/relationships/hyperlink" Target="https://meteor.aihw.gov.au/content/395084" TargetMode="External" Id="R8196581591684a40" /><Relationship Type="http://schemas.openxmlformats.org/officeDocument/2006/relationships/hyperlink" Target="https://meteor.aihw.gov.au/content/269941" TargetMode="External" Id="Rdcf969c66535437f" /><Relationship Type="http://schemas.openxmlformats.org/officeDocument/2006/relationships/hyperlink" Target="https://meteor.aihw.gov.au/content/395084" TargetMode="External" Id="R52ec370c06a74806" /><Relationship Type="http://schemas.openxmlformats.org/officeDocument/2006/relationships/hyperlink" Target="https://meteor.aihw.gov.au/content/287316" TargetMode="External" Id="Rce95aba836e04283" /><Relationship Type="http://schemas.openxmlformats.org/officeDocument/2006/relationships/hyperlink" Target="https://meteor.aihw.gov.au/content/395084" TargetMode="External" Id="R573cfc820be84690" /><Relationship Type="http://schemas.openxmlformats.org/officeDocument/2006/relationships/hyperlink" Target="https://meteor.aihw.gov.au/content/291036" TargetMode="External" Id="Rbdf3e1ce8d834ff9" /><Relationship Type="http://schemas.openxmlformats.org/officeDocument/2006/relationships/hyperlink" Target="https://meteor.aihw.gov.au/content/395084" TargetMode="External" Id="R0dc9ccdceb3f488f" /><Relationship Type="http://schemas.openxmlformats.org/officeDocument/2006/relationships/hyperlink" Target="https://www.aihw.gov.au/reports/chronic-kidney-disease/incidence-of-end-stage-kidney-disease-in-australia-1997-2013/contents/table-of-contents" TargetMode="External" Id="Rdd78df6c832e4320" /><Relationship Type="http://schemas.openxmlformats.org/officeDocument/2006/relationships/hyperlink" Target="https://meteor.aihw.gov.au/content/721649" TargetMode="External" Id="Rfb3c42bb6eef4d9b" /><Relationship Type="http://schemas.openxmlformats.org/officeDocument/2006/relationships/hyperlink" Target="https://meteor.aihw.gov.au/content/585844" TargetMode="External" Id="R05d0c7960a6644c7" /><Relationship Type="http://schemas.openxmlformats.org/officeDocument/2006/relationships/hyperlink" Target="https://meteor.aihw.gov.au/content/393142" TargetMode="External" Id="R0031209d2299471b" /><Relationship Type="http://schemas.openxmlformats.org/officeDocument/2006/relationships/hyperlink" Target="https://meteor.aihw.gov.au/content/585823" TargetMode="External" Id="R317b02333a364483" /><Relationship Type="http://schemas.openxmlformats.org/officeDocument/2006/relationships/hyperlink" Target="https://meteor.aihw.gov.au/content/395084" TargetMode="External" Id="R911eb10f60044558" /><Relationship Type="http://schemas.openxmlformats.org/officeDocument/2006/relationships/hyperlink" Target="https://meteor.aihw.gov.au/content/395083" TargetMode="External" Id="Rbb719beeceb54d2b" /><Relationship Type="http://schemas.openxmlformats.org/officeDocument/2006/relationships/hyperlink" Target="https://www.aihw.gov.au/reports/chronic-kidney-disease/incidence-of-end-stage-kidney-disease-in-australia-1997-2013/contents/table-of-contents" TargetMode="External" Id="R572acf9143f14d33" /><Relationship Type="http://schemas.openxmlformats.org/officeDocument/2006/relationships/hyperlink" Target="https://meteor.aihw.gov.au/content/728395" TargetMode="External" Id="R51d1bab9b3fd4db0" /><Relationship Type="http://schemas.openxmlformats.org/officeDocument/2006/relationships/hyperlink" Target="https://meteor.aihw.gov.au/RegistrationAuthority/12" TargetMode="External" Id="R8613e82de5954a25" /></Relationships>
</file>

<file path=word/_rels/header1.xml.rels>&#65279;<?xml version="1.0" encoding="utf-8"?><Relationships xmlns="http://schemas.openxmlformats.org/package/2006/relationships"><Relationship Type="http://schemas.openxmlformats.org/officeDocument/2006/relationships/image" Target="/media/image.png" Id="R43376a50f3bf4b2e" /></Relationships>
</file>