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a30cf7f7f4fc49aa" /></Relationships>
</file>

<file path=word/document.xml><?xml version="1.0" encoding="utf-8"?>
<w:document xmlns:r="http://schemas.openxmlformats.org/officeDocument/2006/relationships" xmlns:w="http://schemas.openxmlformats.org/wordprocessingml/2006/main">
  <w:body>
    <w:p>
      <w:pPr>
        <w:pStyle w:val="Title"/>
      </w:pPr>
      <w:r>
        <w:t>Australian Health Performance Framework: PI 3.4.1–Infant and young child mortality rate, 2019</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Australian Health Performance Framework: PI 3.4.1–Infant and young child mortality rate, 2019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AHPF PI 3.4.1–Infant and young child mortality rate, 2019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715307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46227f97b444595">
              <w:r>
                <w:rPr>
                  <w:rStyle w:val="Hyperlink"/>
                  <w:color w:val="244061"/>
                </w:rPr>
                <w:t xml:space="preserve">Health</w:t>
              </w:r>
            </w:hyperlink>
            <w:r>
              <w:rPr>
                <w:rStyle w:val="row-content"/>
                <w:color w:val="244061"/>
              </w:rPr>
              <w:t xml:space="preserve">, Superseded 13/10/2021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Mortality rates for infants and children aged less than 5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cee83b3ce9f04ea9">
              <w:r>
                <w:rPr>
                  <w:rStyle w:val="Hyperlink"/>
                </w:rPr>
                <w:t xml:space="preserve">Australian Health Performance Framework, 2019</w:t>
              </w:r>
            </w:hyperlink>
          </w:p>
          <w:p>
            <w:pPr>
              <w:pStyle w:val="registration-status"/>
              <w:spacing w:before="0" w:after="0"/>
            </w:pPr>
            <w:hyperlink w:history="true" r:id="Rd52b55f65fd44b0c">
              <w:r>
                <w:rPr>
                  <w:rStyle w:val="Hyperlink"/>
                  <w:color w:val="244061"/>
                </w:rPr>
                <w:t xml:space="preserve">Health</w:t>
              </w:r>
            </w:hyperlink>
            <w:r>
              <w:rPr>
                <w:rStyle w:val="row-content"/>
                <w:color w:val="244061"/>
              </w:rPr>
              <w:t xml:space="preserve">, Superseded 13/10/2021</w:t>
            </w:r>
          </w:p>
          <w:p>
            <w:r>
              <w:br/>
            </w:r>
            <w:hyperlink w:history="true" r:id="R1248855be4bd424d">
              <w:r>
                <w:rPr>
                  <w:rStyle w:val="Hyperlink"/>
                </w:rPr>
                <w:t xml:space="preserve">Australian Health Performance Framework, 2019</w:t>
              </w:r>
            </w:hyperlink>
          </w:p>
          <w:p>
            <w:pPr>
              <w:pStyle w:val="registration-status"/>
              <w:spacing w:before="0" w:after="0"/>
            </w:pPr>
            <w:hyperlink w:history="true" r:id="R61cd1b537d6c49ad">
              <w:r>
                <w:rPr>
                  <w:rStyle w:val="Hyperlink"/>
                  <w:color w:val="244061"/>
                </w:rPr>
                <w:t xml:space="preserve">Health</w:t>
              </w:r>
            </w:hyperlink>
            <w:r>
              <w:rPr>
                <w:rStyle w:val="row-content"/>
                <w:color w:val="244061"/>
              </w:rPr>
              <w:t xml:space="preserve">, Superseded 13/10/2021</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Infants (&lt;1 year old): 1,000 x (Numerator ÷ Denominator)</w:t>
            </w:r>
            <w:r>
              <w:br/>
            </w:r>
            <w:r>
              <w:rPr>
                <w:rStyle w:val="row-content-rich-text"/>
              </w:rPr>
              <w:t xml:space="preserve">Children (0–4 year olds): 100,000 x (Numerator ÷ Denominator)</w:t>
            </w:r>
          </w:p>
          <w:p>
            <w:pPr>
              <w:spacing w:after="160"/>
            </w:pPr>
            <w:r>
              <w:rPr>
                <w:rStyle w:val="row-content-rich-text"/>
              </w:rPr>
              <w:t xml:space="preserve">Calculated separately for each of the two age groups, and for all Australians, Indigenous and non-Indigenous Australians.</w:t>
            </w:r>
          </w:p>
          <w:p>
            <w:pPr>
              <w:spacing w:after="160"/>
            </w:pPr>
            <w:r>
              <w:rPr>
                <w:rStyle w:val="row-content-rich-text"/>
              </w:rPr>
              <w:t xml:space="preserve">Presented as:</w:t>
            </w:r>
          </w:p>
          <w:p>
            <w:pPr>
              <w:pStyle w:val="ListParagraph"/>
              <w:numPr>
                <w:ilvl w:val="0"/>
                <w:numId w:val="2"/>
              </w:numPr>
            </w:pPr>
            <w:r>
              <w:rPr>
                <w:rStyle w:val="row-content-rich-text"/>
              </w:rPr>
              <w:t xml:space="preserve">number of deaths per 1,000 live births (infant)</w:t>
            </w:r>
          </w:p>
          <w:p>
            <w:pPr>
              <w:pStyle w:val="ListParagraph"/>
              <w:numPr>
                <w:ilvl w:val="0"/>
                <w:numId w:val="2"/>
              </w:numPr>
            </w:pPr>
            <w:r>
              <w:rPr>
                <w:rStyle w:val="row-content-rich-text"/>
              </w:rPr>
              <w:t xml:space="preserve">number of deaths per 100,000 population (child).</w:t>
            </w:r>
          </w:p>
          <w:p>
            <w:pPr>
              <w:spacing w:after="160"/>
            </w:pPr>
            <w:r>
              <w:rPr>
                <w:rStyle w:val="row-content-rich-text"/>
              </w:rPr>
              <w:t xml:space="preserve">Infant mortality rates: The rates for a single year use single year infant deaths for the numerator, and the number of single year live births for the denominator.</w:t>
            </w:r>
          </w:p>
          <w:p>
            <w:pPr/>
            <w:r>
              <w:rPr>
                <w:rStyle w:val="row-content-rich-text"/>
              </w:rPr>
              <w:t xml:space="preserve">Child mortality rates: The rates for a single year use single year data for the numerator, and the number of single year population for the denominator.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pStyle w:val="ListParagraph"/>
              <w:numPr>
                <w:ilvl w:val="0"/>
                <w:numId w:val="3"/>
              </w:numPr>
            </w:pPr>
            <w:r>
              <w:rPr>
                <w:rStyle w:val="row-content-rich-text"/>
              </w:rPr>
              <w:t xml:space="preserve">Number of deaths among infants (aged under 1).</w:t>
            </w:r>
          </w:p>
          <w:p>
            <w:pPr>
              <w:pStyle w:val="ListParagraph"/>
              <w:numPr>
                <w:ilvl w:val="0"/>
                <w:numId w:val="3"/>
              </w:numPr>
            </w:pPr>
            <w:r>
              <w:rPr>
                <w:rStyle w:val="row-content-rich-text"/>
              </w:rPr>
              <w:t xml:space="preserve">Number of deaths among children (aged 0–4).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r>
              <w:rPr>
                <w:rStyle w:val="row-content"/>
              </w:rPr>
              <w:t xml:space="preserve">Person—age at death, NNNN</w:t>
            </w:r>
          </w:p>
          <w:p>
            <w:r>
              <w:rPr>
                <w:rStyle w:val="row-content"/>
                <w:b/>
              </w:rPr>
              <w:t xml:space="preserve">Data Source</w:t>
            </w:r>
          </w:p>
          <w:p>
            <w:hyperlink w:history="true" r:id="Re2eeb7aeae1846b8">
              <w:r>
                <w:rPr>
                  <w:rStyle w:val="Hyperlink"/>
                </w:rPr>
                <w:t xml:space="preserve">National Mortality Database</w:t>
              </w:r>
            </w:hyperlink>
          </w:p>
          <w:p>
            <w:r>
              <w:rPr>
                <w:rStyle w:val="row-content"/>
                <w:b/>
              </w:rPr>
              <w:t xml:space="preserve">Guide for use</w:t>
            </w:r>
          </w:p>
          <w:p>
            <w:r>
              <w:rPr>
                <w:rStyle w:val="row-content"/>
              </w:rPr>
              <w:t xml:space="preserve">Data source type: Administrative by-product data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pStyle w:val="ListParagraph"/>
              <w:numPr>
                <w:ilvl w:val="0"/>
                <w:numId w:val="4"/>
              </w:numPr>
            </w:pPr>
            <w:r>
              <w:rPr>
                <w:rStyle w:val="row-content-rich-text"/>
              </w:rPr>
              <w:t xml:space="preserve">Number of live births (infant)</w:t>
            </w:r>
          </w:p>
          <w:p>
            <w:pPr>
              <w:pStyle w:val="ListParagraph"/>
              <w:numPr>
                <w:ilvl w:val="0"/>
                <w:numId w:val="4"/>
              </w:numPr>
            </w:pPr>
            <w:r>
              <w:rPr>
                <w:rStyle w:val="row-content-rich-text"/>
              </w:rPr>
              <w:t xml:space="preserve">Population aged 0–4 years (child).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r>
              <w:rPr>
                <w:rStyle w:val="row-content"/>
              </w:rPr>
              <w:t xml:space="preserve">Person—projected Indigenous population of Australia, total people N[N(7)]</w:t>
            </w:r>
          </w:p>
          <w:p>
            <w:r>
              <w:rPr>
                <w:rStyle w:val="row-content"/>
                <w:b/>
              </w:rPr>
              <w:t xml:space="preserve">Data Source</w:t>
            </w:r>
          </w:p>
          <w:p>
            <w:hyperlink w:history="true" r:id="R0659846fe62e4b6e">
              <w:r>
                <w:rPr>
                  <w:rStyle w:val="Hyperlink"/>
                </w:rPr>
                <w:t xml:space="preserve">ABS Indigenous estimates and projections (2016 Census-based)</w:t>
              </w:r>
            </w:hyperlink>
          </w:p>
          <w:p>
            <w:r>
              <w:rPr>
                <w:rStyle w:val="row-content"/>
                <w:b/>
              </w:rPr>
              <w:t xml:space="preserve">Guide for use</w:t>
            </w:r>
          </w:p>
          <w:p>
            <w:r>
              <w:rPr>
                <w:rStyle w:val="row-content"/>
              </w:rPr>
              <w:t xml:space="preserve">Data source type: Census-based data plus administrative by-product data</w:t>
            </w:r>
            <w:r>
              <w:br/>
            </w:r>
            <w:r>
              <w:rPr>
                <w:rStyle w:val="row-content"/>
              </w:rPr>
              <w:t xml:space="preserve">Used for the denominator for the mortality rate for Indigenous children aged 0–4 years.</w:t>
            </w:r>
          </w:p>
          <w:p>
            <w:r>
              <w:rPr>
                <w:rStyle w:val="row-content"/>
              </w:rPr>
              <w:t xml:space="preserve"> </w:t>
            </w:r>
          </w:p>
          <w:p>
            <w:r>
              <w:rPr>
                <w:rStyle w:val="row-content"/>
                <w:b/>
                <w:color w:val="000000"/>
              </w:rPr>
              <w:t xml:space="preserve">Data Element / Data Set</w:t>
            </w:r>
          </w:p>
          <w:p>
            <w:hyperlink w:history="true" r:id="Re200c126463f42f1">
              <w:r>
                <w:rPr>
                  <w:rStyle w:val="Hyperlink"/>
                </w:rPr>
                <w:t xml:space="preserve">Birth—birth status, code N</w:t>
              </w:r>
            </w:hyperlink>
          </w:p>
          <w:p>
            <w:r>
              <w:rPr>
                <w:rStyle w:val="row-content"/>
                <w:b/>
              </w:rPr>
              <w:t xml:space="preserve">Data Source</w:t>
            </w:r>
          </w:p>
          <w:p>
            <w:hyperlink w:history="true" r:id="Rb5da2e63966e486b">
              <w:r>
                <w:rPr>
                  <w:rStyle w:val="Hyperlink"/>
                </w:rPr>
                <w:t xml:space="preserve">ABS birth registration data</w:t>
              </w:r>
            </w:hyperlink>
          </w:p>
          <w:p>
            <w:r>
              <w:rPr>
                <w:rStyle w:val="row-content"/>
                <w:b/>
              </w:rPr>
              <w:t xml:space="preserve">Guide for use</w:t>
            </w:r>
          </w:p>
          <w:p>
            <w:r>
              <w:rPr>
                <w:rStyle w:val="row-content"/>
              </w:rPr>
              <w:t xml:space="preserve">Data source type: Administrative by-product data</w:t>
            </w:r>
            <w:r>
              <w:br/>
            </w:r>
            <w:r>
              <w:rPr>
                <w:rStyle w:val="row-content"/>
              </w:rPr>
              <w:t xml:space="preserve">Used as the main component of the denominator for infant and child mortality rate. Include live births only, i.e. value = 1.</w:t>
            </w:r>
          </w:p>
          <w:p>
            <w:r>
              <w:rPr>
                <w:rStyle w:val="row-content"/>
              </w:rPr>
              <w:t xml:space="preserve"> </w:t>
            </w:r>
          </w:p>
          <w:p>
            <w:r>
              <w:rPr>
                <w:rStyle w:val="row-content"/>
                <w:b/>
                <w:color w:val="000000"/>
              </w:rPr>
              <w:t xml:space="preserve">Data Element / Data Set</w:t>
            </w:r>
          </w:p>
          <w:p>
            <w:hyperlink w:history="true" r:id="Ra50246a124be4bb2">
              <w:r>
                <w:rPr>
                  <w:rStyle w:val="Hyperlink"/>
                </w:rPr>
                <w:t xml:space="preserve">Person—estimated resident population of Australia, total people N[N(7)]</w:t>
              </w:r>
            </w:hyperlink>
          </w:p>
          <w:p>
            <w:r>
              <w:rPr>
                <w:rStyle w:val="row-content"/>
                <w:b/>
              </w:rPr>
              <w:t xml:space="preserve">Data Source</w:t>
            </w:r>
          </w:p>
          <w:p>
            <w:hyperlink w:history="true" r:id="Rccc01c7cb2b24e3c">
              <w:r>
                <w:rPr>
                  <w:rStyle w:val="Hyperlink"/>
                </w:rPr>
                <w:t xml:space="preserve">ABS Estimated resident population (2016 Census-based)</w:t>
              </w:r>
            </w:hyperlink>
          </w:p>
          <w:p>
            <w:r>
              <w:rPr>
                <w:rStyle w:val="row-content"/>
                <w:b/>
              </w:rPr>
              <w:t xml:space="preserve">Guide for use</w:t>
            </w:r>
          </w:p>
          <w:p>
            <w:r>
              <w:rPr>
                <w:rStyle w:val="row-content"/>
              </w:rPr>
              <w:t xml:space="preserve">Data source type: Census based data plus administrative by-product data</w:t>
            </w:r>
            <w:r>
              <w:br/>
            </w:r>
            <w:r>
              <w:rPr>
                <w:rStyle w:val="row-content"/>
              </w:rPr>
              <w:t xml:space="preserve">Used for the denominator for the mortality rate for children aged 0–4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2008–2017—National, infants aged under 1.</w:t>
            </w:r>
          </w:p>
          <w:p>
            <w:pPr>
              <w:spacing w:after="160"/>
            </w:pPr>
            <w:r>
              <w:rPr>
                <w:rStyle w:val="row-content-rich-text"/>
              </w:rPr>
              <w:t xml:space="preserve">2008–2017—National by sex, children aged 0–4.</w:t>
            </w:r>
          </w:p>
          <w:p>
            <w:pPr>
              <w:spacing w:after="160"/>
            </w:pPr>
            <w:r>
              <w:rPr>
                <w:rStyle w:val="row-content-rich-text"/>
              </w:rPr>
              <w:t xml:space="preserve">2008–2017—State and territory by sex, infants aged under 1.</w:t>
            </w:r>
          </w:p>
          <w:p>
            <w:pPr>
              <w:spacing w:after="160"/>
            </w:pPr>
            <w:r>
              <w:rPr>
                <w:rStyle w:val="row-content-rich-text"/>
              </w:rPr>
              <w:t xml:space="preserve">2008–2017—State and territory by sex, children aged 0–4.</w:t>
            </w:r>
          </w:p>
          <w:p>
            <w:pPr>
              <w:spacing w:after="160"/>
            </w:pPr>
            <w:r>
              <w:rPr>
                <w:rStyle w:val="row-content-rich-text"/>
              </w:rPr>
              <w:t xml:space="preserve">2008–2017—National by Indigenous status and sex, infants aged under 1.</w:t>
            </w:r>
          </w:p>
          <w:p>
            <w:pPr>
              <w:spacing w:after="160"/>
            </w:pPr>
            <w:r>
              <w:rPr>
                <w:rStyle w:val="row-content-rich-text"/>
              </w:rPr>
              <w:t xml:space="preserve">2008–2017—National by Indigenous status and sex, children aged 0–4.</w:t>
            </w:r>
          </w:p>
          <w:p>
            <w:pPr>
              <w:spacing w:after="160"/>
            </w:pPr>
            <w:r>
              <w:rPr>
                <w:rStyle w:val="row-content-rich-text"/>
              </w:rPr>
              <w:t xml:space="preserve">2011–2017—Primary Health Network, infants aged under 1.</w:t>
            </w:r>
          </w:p>
          <w:p>
            <w:pPr>
              <w:spacing w:after="160"/>
            </w:pPr>
            <w:r>
              <w:rPr>
                <w:rStyle w:val="row-content-rich-text"/>
              </w:rPr>
              <w:t xml:space="preserve">2011–2017—Primary Health Network, children aged 0–4.</w:t>
            </w:r>
          </w:p>
          <w:p>
            <w:pPr>
              <w:spacing w:after="160"/>
            </w:pPr>
            <w:r>
              <w:rPr>
                <w:rStyle w:val="row-content-rich-text"/>
              </w:rPr>
              <w:t xml:space="preserve">2011–2017—National by remoteness areas (Australian Statistical Geography Standard (ASGS) Remoteness Structure), infants aged under 1</w:t>
            </w:r>
          </w:p>
          <w:p>
            <w:pPr>
              <w:spacing w:after="160"/>
            </w:pPr>
            <w:r>
              <w:rPr>
                <w:rStyle w:val="row-content-rich-text"/>
              </w:rPr>
              <w:t xml:space="preserve">2011–2017—National by remoteness areas (ASGS Remoteness Structure), children aged 0–4.</w:t>
            </w:r>
          </w:p>
          <w:p>
            <w:pPr/>
            <w:r>
              <w:rPr>
                <w:rStyle w:val="row-content-rich-text"/>
              </w:rPr>
              <w:t xml:space="preserve">Some disaggregations may result in numbers too small for publication. Disaggregation by Indigenous status will be based on data only from jurisdictions for which the quality of Indigenous identification is considered acceptable—New South Wales, Queensland, Western Australia, South Australia and Northern Territory.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r>
              <w:rPr>
                <w:rStyle w:val="row-content"/>
              </w:rPr>
              <w:t xml:space="preserve">Person—age at death, NNNN</w:t>
            </w:r>
          </w:p>
          <w:p>
            <w:r>
              <w:rPr>
                <w:rStyle w:val="row-content"/>
                <w:b/>
              </w:rPr>
              <w:t xml:space="preserve">Data Source</w:t>
            </w:r>
          </w:p>
          <w:p>
            <w:hyperlink w:history="true" r:id="R3b6c5adcc5af41ad">
              <w:r>
                <w:rPr>
                  <w:rStyle w:val="Hyperlink"/>
                </w:rPr>
                <w:t xml:space="preserve">National Mortality Database</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71a24e46d6bd418d">
              <w:r>
                <w:rPr>
                  <w:rStyle w:val="Hyperlink"/>
                </w:rPr>
                <w:t xml:space="preserve">Person—Indigenous status, code N</w:t>
              </w:r>
            </w:hyperlink>
          </w:p>
          <w:p>
            <w:r>
              <w:rPr>
                <w:rStyle w:val="row-content"/>
                <w:b/>
              </w:rPr>
              <w:t xml:space="preserve">Data Source</w:t>
            </w:r>
          </w:p>
          <w:p>
            <w:hyperlink w:history="true" r:id="R2ba62984128b48a6">
              <w:r>
                <w:rPr>
                  <w:rStyle w:val="Hyperlink"/>
                </w:rPr>
                <w:t xml:space="preserve">National Mortality Database</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b7321b279a0f4d8c">
              <w:r>
                <w:rPr>
                  <w:rStyle w:val="Hyperlink"/>
                </w:rPr>
                <w:t xml:space="preserve">Person—sex, code X</w:t>
              </w:r>
            </w:hyperlink>
          </w:p>
          <w:p>
            <w:r>
              <w:rPr>
                <w:rStyle w:val="row-content"/>
                <w:b/>
              </w:rPr>
              <w:t xml:space="preserve">Data Source</w:t>
            </w:r>
          </w:p>
          <w:p>
            <w:hyperlink w:history="true" r:id="R251bea0de70f4bcc">
              <w:r>
                <w:rPr>
                  <w:rStyle w:val="Hyperlink"/>
                </w:rPr>
                <w:t xml:space="preserve">National Mortality Database</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f51ff26946e94a7f">
              <w:r>
                <w:rPr>
                  <w:rStyle w:val="Hyperlink"/>
                </w:rPr>
                <w:t xml:space="preserve">Person—area of usual residence, statistical area level 2 (SA2) code (ASGS 2016) N(9)</w:t>
              </w:r>
            </w:hyperlink>
          </w:p>
          <w:p>
            <w:r>
              <w:rPr>
                <w:rStyle w:val="row-content"/>
                <w:b/>
              </w:rPr>
              <w:t xml:space="preserve">Data Source</w:t>
            </w:r>
          </w:p>
          <w:p>
            <w:hyperlink w:history="true" r:id="R7567493a483b4cb1">
              <w:r>
                <w:rPr>
                  <w:rStyle w:val="Hyperlink"/>
                </w:rPr>
                <w:t xml:space="preserve">National Mortality Database</w:t>
              </w:r>
            </w:hyperlink>
          </w:p>
          <w:p>
            <w:r>
              <w:rPr>
                <w:rStyle w:val="row-content"/>
                <w:b/>
              </w:rPr>
              <w:t xml:space="preserve">Guide for use</w:t>
            </w:r>
          </w:p>
          <w:p>
            <w:r>
              <w:rPr>
                <w:rStyle w:val="row-content"/>
              </w:rPr>
              <w:t xml:space="preserve">Data source type: Administrative by-product data</w:t>
            </w:r>
          </w:p>
          <w:p>
            <w:r>
              <w:rPr>
                <w:rStyle w:val="row-content"/>
              </w:rPr>
              <w:t xml:space="preserve">Used for disaggregation by state/territory and remoteness</w:t>
            </w:r>
          </w:p>
          <w:p>
            <w:r>
              <w:rPr>
                <w:rStyle w:val="row-content"/>
              </w:rPr>
              <w:t xml:space="preserve"> </w:t>
            </w:r>
          </w:p>
          <w:p>
            <w:r>
              <w:rPr>
                <w:rStyle w:val="row-content"/>
                <w:b/>
                <w:color w:val="000000"/>
              </w:rPr>
              <w:t xml:space="preserve">Data Element / Data Set</w:t>
            </w:r>
          </w:p>
          <w:p>
            <w:hyperlink w:history="true" r:id="R4355a1b35121492d">
              <w:r>
                <w:rPr>
                  <w:rStyle w:val="Hyperlink"/>
                </w:rPr>
                <w:t xml:space="preserve">Address—statistical area, level 2 (SA2) code (ASGS 2016) N(9)</w:t>
              </w:r>
            </w:hyperlink>
          </w:p>
          <w:p>
            <w:r>
              <w:rPr>
                <w:rStyle w:val="row-content"/>
                <w:b/>
              </w:rPr>
              <w:t xml:space="preserve">Data Source</w:t>
            </w:r>
          </w:p>
          <w:p>
            <w:hyperlink w:history="true" r:id="R4a3052545aee4ee6">
              <w:r>
                <w:rPr>
                  <w:rStyle w:val="Hyperlink"/>
                </w:rPr>
                <w:t xml:space="preserve">National Mortality Database</w:t>
              </w:r>
            </w:hyperlink>
          </w:p>
          <w:p>
            <w:r>
              <w:rPr>
                <w:rStyle w:val="row-content"/>
                <w:b/>
              </w:rPr>
              <w:t xml:space="preserve">Guide for use</w:t>
            </w:r>
          </w:p>
          <w:p>
            <w:r>
              <w:rPr>
                <w:rStyle w:val="row-content"/>
              </w:rPr>
              <w:t xml:space="preserve">Data source type: Administrative by-product data</w:t>
            </w:r>
            <w:r>
              <w:br/>
            </w:r>
            <w:r>
              <w:rPr>
                <w:rStyle w:val="row-content"/>
              </w:rPr>
              <w:t xml:space="preserve">Used for disaggregations by state/territory, Primary Health Network and remoteness areas.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Most recent data available for 2019 Australian Health Performance Framework reporting: 2017.</w:t>
            </w:r>
          </w:p>
          <w:p>
            <w:pPr/>
            <w:r>
              <w:rPr>
                <w:rStyle w:val="row-content-rich-text"/>
              </w:rPr>
              <w:t xml:space="preserve">Single year data are reported for time series analysis.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Rate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Life event (e.g. birth, death)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1a71b30c51634ecc">
              <w:r>
                <w:rPr>
                  <w:rStyle w:val="Hyperlink"/>
                </w:rPr>
                <w:t xml:space="preserve">4. Deaths</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6d56c21ad5124e0f">
              <w:r>
                <w:rPr>
                  <w:rStyle w:val="Hyperlink"/>
                </w:rPr>
                <w:t xml:space="preserve">ABS Indigenous estimates and projections (2016 Census-based)</w:t>
              </w:r>
            </w:hyperlink>
          </w:p>
          <w:p>
            <w:r>
              <w:rPr>
                <w:rStyle w:val="row-content"/>
                <w:b/>
              </w:rPr>
              <w:t xml:space="preserve">Frequency</w:t>
            </w:r>
          </w:p>
          <w:p>
            <w:r>
              <w:rPr>
                <w:rStyle w:val="row-content"/>
              </w:rPr>
              <w:t xml:space="preserve">Periodic</w:t>
            </w:r>
          </w:p>
          <w:p>
            <w:r>
              <w:rPr>
                <w:rStyle w:val="row-content"/>
                <w:b/>
              </w:rPr>
              <w:t xml:space="preserve">Data custodian</w:t>
            </w:r>
          </w:p>
          <w:p>
            <w:r>
              <w:rPr>
                <w:rStyle w:val="row-content"/>
              </w:rPr>
              <w:t xml:space="preserve">Australian Bureau of Statistics</w:t>
            </w:r>
          </w:p>
          <w:p>
            <w:r>
              <w:rPr>
                <w:rStyle w:val="row-content"/>
              </w:rPr>
              <w:t xml:space="preserve"> </w:t>
            </w:r>
          </w:p>
          <w:p>
            <w:r>
              <w:rPr>
                <w:rStyle w:val="row-content"/>
                <w:b/>
                <w:color w:val="000000"/>
              </w:rPr>
              <w:t xml:space="preserve">Data Source</w:t>
            </w:r>
          </w:p>
          <w:p>
            <w:hyperlink w:history="true" r:id="R395e5848c5e34cba">
              <w:r>
                <w:rPr>
                  <w:rStyle w:val="Hyperlink"/>
                </w:rPr>
                <w:t xml:space="preserve">National Mortality Database</w:t>
              </w:r>
            </w:hyperlink>
          </w:p>
          <w:p>
            <w:r>
              <w:rPr>
                <w:rStyle w:val="row-content"/>
                <w:b/>
              </w:rPr>
              <w:t xml:space="preserve">Frequency</w:t>
            </w:r>
          </w:p>
          <w:p>
            <w:r>
              <w:rPr>
                <w:rStyle w:val="row-content"/>
              </w:rPr>
              <w:t xml:space="preserve">Annual</w:t>
            </w:r>
          </w:p>
          <w:p>
            <w:r>
              <w:rPr>
                <w:rStyle w:val="row-content"/>
                <w:b/>
              </w:rPr>
              <w:t xml:space="preserve">Data custodian</w:t>
            </w:r>
          </w:p>
          <w:p>
            <w:r>
              <w:rPr>
                <w:rStyle w:val="row-content"/>
              </w:rPr>
              <w:t xml:space="preserve">Australian Institute of Health and Welfare</w:t>
            </w:r>
          </w:p>
          <w:p>
            <w:r>
              <w:rPr>
                <w:rStyle w:val="row-content"/>
              </w:rPr>
              <w:t xml:space="preserve"> </w:t>
            </w:r>
          </w:p>
          <w:p>
            <w:r>
              <w:rPr>
                <w:rStyle w:val="row-content"/>
                <w:b/>
                <w:color w:val="000000"/>
              </w:rPr>
              <w:t xml:space="preserve">Data Source</w:t>
            </w:r>
          </w:p>
          <w:p>
            <w:hyperlink w:history="true" r:id="R20b5536a19d44c40">
              <w:r>
                <w:rPr>
                  <w:rStyle w:val="Hyperlink"/>
                </w:rPr>
                <w:t xml:space="preserve">ABS birth registration data</w:t>
              </w:r>
            </w:hyperlink>
          </w:p>
          <w:p>
            <w:r>
              <w:rPr>
                <w:rStyle w:val="row-content"/>
                <w:b/>
              </w:rPr>
              <w:t xml:space="preserve">Frequency</w:t>
            </w:r>
          </w:p>
          <w:p>
            <w:r>
              <w:rPr>
                <w:rStyle w:val="row-content"/>
              </w:rPr>
              <w:t xml:space="preserve">Annual</w:t>
            </w:r>
          </w:p>
          <w:p>
            <w:r>
              <w:rPr>
                <w:rStyle w:val="row-content"/>
                <w:b/>
              </w:rPr>
              <w:t xml:space="preserve">Data custodian</w:t>
            </w:r>
          </w:p>
          <w:p>
            <w:r>
              <w:rPr>
                <w:rStyle w:val="row-content"/>
              </w:rPr>
              <w:t xml:space="preserve">Australian Bureau of Statistics</w:t>
            </w:r>
          </w:p>
          <w:p>
            <w:r>
              <w:rPr>
                <w:rStyle w:val="row-content"/>
              </w:rPr>
              <w:t xml:space="preserve"> </w:t>
            </w:r>
          </w:p>
          <w:p>
            <w:r>
              <w:rPr>
                <w:rStyle w:val="row-content"/>
                <w:b/>
                <w:color w:val="000000"/>
              </w:rPr>
              <w:t xml:space="preserve">Data Source</w:t>
            </w:r>
          </w:p>
          <w:p>
            <w:hyperlink w:history="true" r:id="R5e76f088d10a4747">
              <w:r>
                <w:rPr>
                  <w:rStyle w:val="Hyperlink"/>
                </w:rPr>
                <w:t xml:space="preserve">ABS Estimated resident population (2016 Census-based)</w:t>
              </w:r>
            </w:hyperlink>
          </w:p>
          <w:p>
            <w:r>
              <w:rPr>
                <w:rStyle w:val="row-content"/>
                <w:b/>
              </w:rPr>
              <w:t xml:space="preserve">Frequency</w:t>
            </w:r>
          </w:p>
          <w:p>
            <w:r>
              <w:rPr>
                <w:rStyle w:val="row-content"/>
              </w:rPr>
              <w:t xml:space="preserve">Quarterly</w:t>
            </w:r>
          </w:p>
          <w:p>
            <w:r>
              <w:rPr>
                <w:rStyle w:val="row-content"/>
                <w:b/>
              </w:rPr>
              <w:t xml:space="preserve">Data custodian</w:t>
            </w:r>
          </w:p>
          <w:p>
            <w:r>
              <w:rPr>
                <w:rStyle w:val="row-content"/>
              </w:rPr>
              <w:t xml:space="preserve">Australian Bureau of Statistics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Health Performance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c2834818e8d34683">
              <w:r>
                <w:rPr>
                  <w:rStyle w:val="Hyperlink"/>
                </w:rPr>
                <w:t xml:space="preserve">Australian Health Performance Framework: PI 3.4.1–Infant and young child mortality rate, 2020</w:t>
              </w:r>
            </w:hyperlink>
          </w:p>
          <w:p>
            <w:pPr>
              <w:pStyle w:val="registration-status"/>
              <w:spacing w:before="0" w:after="0"/>
            </w:pPr>
            <w:hyperlink w:history="true" r:id="R9b437dc902e44ce5">
              <w:r>
                <w:rPr>
                  <w:rStyle w:val="Hyperlink"/>
                  <w:color w:val="244061"/>
                </w:rPr>
                <w:t xml:space="preserve">Health</w:t>
              </w:r>
            </w:hyperlink>
            <w:r>
              <w:rPr>
                <w:rStyle w:val="row-content"/>
                <w:color w:val="244061"/>
              </w:rPr>
              <w:t xml:space="preserve">, Superseded 11/07/2023</w:t>
            </w:r>
          </w:p>
          <w:p>
            <w:r>
              <w:br/>
            </w:r>
            <w:r>
              <w:rPr>
                <w:rStyle w:val="row-content"/>
              </w:rPr>
              <w:t xml:space="preserve">See also </w:t>
            </w:r>
            <w:hyperlink w:history="true" r:id="Rdd10212c10c244bd">
              <w:r>
                <w:rPr>
                  <w:rStyle w:val="Hyperlink"/>
                </w:rPr>
                <w:t xml:space="preserve">Australian Health Performance Framework: PI 2.1.6–Potentially avoidable deaths, 2019</w:t>
              </w:r>
            </w:hyperlink>
          </w:p>
          <w:p>
            <w:pPr>
              <w:pStyle w:val="registration-status"/>
              <w:spacing w:before="0" w:after="0"/>
            </w:pPr>
            <w:hyperlink w:history="true" r:id="R9e0bedd5119e453e">
              <w:r>
                <w:rPr>
                  <w:rStyle w:val="Hyperlink"/>
                  <w:color w:val="244061"/>
                </w:rPr>
                <w:t xml:space="preserve">Health</w:t>
              </w:r>
            </w:hyperlink>
            <w:r>
              <w:rPr>
                <w:rStyle w:val="row-content"/>
                <w:color w:val="244061"/>
              </w:rPr>
              <w:t xml:space="preserve">, Superseded 01/12/2020</w:t>
            </w:r>
          </w:p>
          <w:p>
            <w:r>
              <w:br/>
            </w:r>
            <w:r>
              <w:rPr>
                <w:rStyle w:val="row-content"/>
              </w:rPr>
              <w:t xml:space="preserve">See also </w:t>
            </w:r>
            <w:hyperlink w:history="true" r:id="Rbf5db1a0817241f7">
              <w:r>
                <w:rPr>
                  <w:rStyle w:val="Hyperlink"/>
                </w:rPr>
                <w:t xml:space="preserve">National Healthcare Agreement: PI 07–Infant and young child mortality rate, 2020</w:t>
              </w:r>
            </w:hyperlink>
          </w:p>
          <w:p>
            <w:pPr>
              <w:pStyle w:val="registration-status"/>
              <w:spacing w:before="0" w:after="0"/>
            </w:pPr>
            <w:hyperlink w:history="true" r:id="R929ab4ee67fb45a0">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d06b1ef0884a4ac0">
              <w:r>
                <w:rPr>
                  <w:rStyle w:val="Hyperlink"/>
                </w:rPr>
                <w:t xml:space="preserve">National Healthcare Agreement: PI 07–Infant and young child mortality rate, 2021</w:t>
              </w:r>
            </w:hyperlink>
          </w:p>
          <w:p>
            <w:pPr>
              <w:pStyle w:val="registration-status"/>
              <w:spacing w:before="0" w:after="0"/>
            </w:pPr>
            <w:hyperlink w:history="true" r:id="R2b6af5856ba64484">
              <w:r>
                <w:rPr>
                  <w:rStyle w:val="Hyperlink"/>
                  <w:color w:val="244061"/>
                </w:rPr>
                <w:t xml:space="preserve">Health</w:t>
              </w:r>
            </w:hyperlink>
            <w:r>
              <w:rPr>
                <w:rStyle w:val="row-content"/>
                <w:color w:val="244061"/>
              </w:rPr>
              <w:t xml:space="preserve">, Standard 03/07/2020</w:t>
            </w:r>
          </w:p>
          <w:p>
            <w:r>
              <w:br/>
            </w:r>
          </w:p>
        </w:tc>
      </w:tr>
    </w:tbl>
    <w:p>
      <w:r>
        <w:br/>
      </w:r>
    </w:p>
    <w:sectPr>
      <w:footerReference xmlns:r="http://schemas.openxmlformats.org/officeDocument/2006/relationships" w:type="default" r:id="R46148be858264a6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715307</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16c02e3084b45d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6148be858264a61" /><Relationship Type="http://schemas.openxmlformats.org/officeDocument/2006/relationships/header" Target="/word/header1.xml" Id="R512be1cb2b1c4b98" /><Relationship Type="http://schemas.openxmlformats.org/officeDocument/2006/relationships/settings" Target="/word/settings.xml" Id="Rf726cf51d5c9471b" /><Relationship Type="http://schemas.openxmlformats.org/officeDocument/2006/relationships/styles" Target="/word/styles.xml" Id="Rd618cfbb71e4494b" /><Relationship Type="http://schemas.openxmlformats.org/officeDocument/2006/relationships/numbering" Target="/word/numbering.xml" Id="R06e55c3be1884cc6" /><Relationship Type="http://schemas.openxmlformats.org/officeDocument/2006/relationships/hyperlink" Target="https://meteor.aihw.gov.au/RegistrationAuthority/12" TargetMode="External" Id="R546227f97b444595" /><Relationship Type="http://schemas.openxmlformats.org/officeDocument/2006/relationships/hyperlink" Target="https://meteor.aihw.gov.au/content/715015" TargetMode="External" Id="Rcee83b3ce9f04ea9" /><Relationship Type="http://schemas.openxmlformats.org/officeDocument/2006/relationships/hyperlink" Target="https://meteor.aihw.gov.au/RegistrationAuthority/12" TargetMode="External" Id="Rd52b55f65fd44b0c" /><Relationship Type="http://schemas.openxmlformats.org/officeDocument/2006/relationships/hyperlink" Target="https://meteor.aihw.gov.au/content/715015" TargetMode="External" Id="R1248855be4bd424d" /><Relationship Type="http://schemas.openxmlformats.org/officeDocument/2006/relationships/hyperlink" Target="https://meteor.aihw.gov.au/RegistrationAuthority/12" TargetMode="External" Id="R61cd1b537d6c49ad" /><Relationship Type="http://schemas.openxmlformats.org/officeDocument/2006/relationships/hyperlink" Target="https://meteor.aihw.gov.au/content/395084" TargetMode="External" Id="Re2eeb7aeae1846b8" /><Relationship Type="http://schemas.openxmlformats.org/officeDocument/2006/relationships/hyperlink" Target="https://meteor.aihw.gov.au/content/719790" TargetMode="External" Id="R0659846fe62e4b6e" /><Relationship Type="http://schemas.openxmlformats.org/officeDocument/2006/relationships/hyperlink" Target="https://meteor.aihw.gov.au/content/269949" TargetMode="External" Id="Re200c126463f42f1" /><Relationship Type="http://schemas.openxmlformats.org/officeDocument/2006/relationships/hyperlink" Target="https://meteor.aihw.gov.au/content/394483" TargetMode="External" Id="Rb5da2e63966e486b" /><Relationship Type="http://schemas.openxmlformats.org/officeDocument/2006/relationships/hyperlink" Target="https://meteor.aihw.gov.au/content/388656" TargetMode="External" Id="Ra50246a124be4bb2" /><Relationship Type="http://schemas.openxmlformats.org/officeDocument/2006/relationships/hyperlink" Target="https://meteor.aihw.gov.au/content/704699" TargetMode="External" Id="Rccc01c7cb2b24e3c" /><Relationship Type="http://schemas.openxmlformats.org/officeDocument/2006/relationships/hyperlink" Target="https://meteor.aihw.gov.au/content/395084" TargetMode="External" Id="R3b6c5adcc5af41ad" /><Relationship Type="http://schemas.openxmlformats.org/officeDocument/2006/relationships/hyperlink" Target="https://meteor.aihw.gov.au/content/291036" TargetMode="External" Id="R71a24e46d6bd418d" /><Relationship Type="http://schemas.openxmlformats.org/officeDocument/2006/relationships/hyperlink" Target="https://meteor.aihw.gov.au/content/395084" TargetMode="External" Id="R2ba62984128b48a6" /><Relationship Type="http://schemas.openxmlformats.org/officeDocument/2006/relationships/hyperlink" Target="https://meteor.aihw.gov.au/content/635126" TargetMode="External" Id="Rb7321b279a0f4d8c" /><Relationship Type="http://schemas.openxmlformats.org/officeDocument/2006/relationships/hyperlink" Target="https://meteor.aihw.gov.au/content/395084" TargetMode="External" Id="R251bea0de70f4bcc" /><Relationship Type="http://schemas.openxmlformats.org/officeDocument/2006/relationships/hyperlink" Target="https://meteor.aihw.gov.au/content/659725" TargetMode="External" Id="Rf51ff26946e94a7f" /><Relationship Type="http://schemas.openxmlformats.org/officeDocument/2006/relationships/hyperlink" Target="https://meteor.aihw.gov.au/content/395084" TargetMode="External" Id="R7567493a483b4cb1" /><Relationship Type="http://schemas.openxmlformats.org/officeDocument/2006/relationships/hyperlink" Target="https://meteor.aihw.gov.au/content/659774" TargetMode="External" Id="R4355a1b35121492d" /><Relationship Type="http://schemas.openxmlformats.org/officeDocument/2006/relationships/hyperlink" Target="https://meteor.aihw.gov.au/content/395084" TargetMode="External" Id="R4a3052545aee4ee6" /><Relationship Type="http://schemas.openxmlformats.org/officeDocument/2006/relationships/hyperlink" Target="https://meteor.aihw.gov.au/content/721652" TargetMode="External" Id="R1a71b30c51634ecc" /><Relationship Type="http://schemas.openxmlformats.org/officeDocument/2006/relationships/hyperlink" Target="https://meteor.aihw.gov.au/content/719790" TargetMode="External" Id="R6d56c21ad5124e0f" /><Relationship Type="http://schemas.openxmlformats.org/officeDocument/2006/relationships/hyperlink" Target="https://meteor.aihw.gov.au/content/395084" TargetMode="External" Id="R395e5848c5e34cba" /><Relationship Type="http://schemas.openxmlformats.org/officeDocument/2006/relationships/hyperlink" Target="https://meteor.aihw.gov.au/content/394483" TargetMode="External" Id="R20b5536a19d44c40" /><Relationship Type="http://schemas.openxmlformats.org/officeDocument/2006/relationships/hyperlink" Target="https://meteor.aihw.gov.au/content/704699" TargetMode="External" Id="R5e76f088d10a4747" /><Relationship Type="http://schemas.openxmlformats.org/officeDocument/2006/relationships/hyperlink" Target="https://meteor.aihw.gov.au/content/728472" TargetMode="External" Id="Rc2834818e8d34683" /><Relationship Type="http://schemas.openxmlformats.org/officeDocument/2006/relationships/hyperlink" Target="https://meteor.aihw.gov.au/RegistrationAuthority/12" TargetMode="External" Id="R9b437dc902e44ce5" /><Relationship Type="http://schemas.openxmlformats.org/officeDocument/2006/relationships/hyperlink" Target="https://meteor.aihw.gov.au/content/715192" TargetMode="External" Id="Rdd10212c10c244bd" /><Relationship Type="http://schemas.openxmlformats.org/officeDocument/2006/relationships/hyperlink" Target="https://meteor.aihw.gov.au/RegistrationAuthority/12" TargetMode="External" Id="R9e0bedd5119e453e" /><Relationship Type="http://schemas.openxmlformats.org/officeDocument/2006/relationships/hyperlink" Target="https://meteor.aihw.gov.au/content/716308" TargetMode="External" Id="Rbf5db1a0817241f7" /><Relationship Type="http://schemas.openxmlformats.org/officeDocument/2006/relationships/hyperlink" Target="https://meteor.aihw.gov.au/RegistrationAuthority/12" TargetMode="External" Id="R929ab4ee67fb45a0" /><Relationship Type="http://schemas.openxmlformats.org/officeDocument/2006/relationships/hyperlink" Target="https://meteor.aihw.gov.au/content/725815" TargetMode="External" Id="Rd06b1ef0884a4ac0" /><Relationship Type="http://schemas.openxmlformats.org/officeDocument/2006/relationships/hyperlink" Target="https://meteor.aihw.gov.au/RegistrationAuthority/12" TargetMode="External" Id="R2b6af5856ba64484" /></Relationships>
</file>

<file path=word/_rels/header1.xml.rels>&#65279;<?xml version="1.0" encoding="utf-8"?><Relationships xmlns="http://schemas.openxmlformats.org/package/2006/relationships"><Relationship Type="http://schemas.openxmlformats.org/officeDocument/2006/relationships/image" Target="/media/image.png" Id="R916c02e3084b45d7" /></Relationships>
</file>