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1f9250478e48a4"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2.1.6–Potentially avoidable deaths, 2019</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2.1.6–Potentially avoidable deaths,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2.1.6–Potentially avoidable deaths, 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715192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e667d7f73c846aa">
              <w:r>
                <w:rPr>
                  <w:rStyle w:val="Hyperlink"/>
                  <w:color w:val="244061"/>
                </w:rPr>
                <w:t xml:space="preserve">Health</w:t>
              </w:r>
            </w:hyperlink>
            <w:r>
              <w:rPr>
                <w:rStyle w:val="row-content"/>
                <w:color w:val="244061"/>
              </w:rPr>
              <w:t xml:space="preserve">, Superseded 01/12/2020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Deaths from conditions that are potentially preventable through individualised care and/or treatable through existing primary or hospital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a77baf2363f14903">
              <w:r>
                <w:rPr>
                  <w:rStyle w:val="Hyperlink"/>
                </w:rPr>
                <w:t xml:space="preserve">Australian Health Performance Framework, 2019</w:t>
              </w:r>
            </w:hyperlink>
          </w:p>
          <w:p>
            <w:pPr>
              <w:pStyle w:val="registration-status"/>
              <w:spacing w:before="0" w:after="0"/>
            </w:pPr>
            <w:hyperlink w:history="true" r:id="R3284196b191e4312">
              <w:r>
                <w:rPr>
                  <w:rStyle w:val="Hyperlink"/>
                  <w:color w:val="244061"/>
                </w:rPr>
                <w:t xml:space="preserve">Health</w:t>
              </w:r>
            </w:hyperlink>
            <w:r>
              <w:rPr>
                <w:rStyle w:val="row-content"/>
                <w:color w:val="244061"/>
              </w:rPr>
              <w:t xml:space="preserve">, Superseded 13/10/2021</w:t>
            </w:r>
          </w:p>
          <w:p>
            <w:r>
              <w:br/>
            </w:r>
            <w:hyperlink w:history="true" r:id="R0913efc3284147de">
              <w:r>
                <w:rPr>
                  <w:rStyle w:val="Hyperlink"/>
                </w:rPr>
                <w:t xml:space="preserve">Australian Health Performance Framework, 2019</w:t>
              </w:r>
            </w:hyperlink>
          </w:p>
          <w:p>
            <w:pPr>
              <w:pStyle w:val="registration-status"/>
              <w:spacing w:before="0" w:after="0"/>
            </w:pPr>
            <w:hyperlink w:history="true" r:id="Rc1db290e3b954fd6">
              <w:r>
                <w:rPr>
                  <w:rStyle w:val="Hyperlink"/>
                  <w:color w:val="244061"/>
                </w:rPr>
                <w:t xml:space="preserve">Health</w:t>
              </w:r>
            </w:hyperlink>
            <w:r>
              <w:rPr>
                <w:rStyle w:val="row-content"/>
                <w:color w:val="244061"/>
              </w:rPr>
              <w:t xml:space="preserve">, Superseded 13/10/2021</w:t>
            </w:r>
          </w:p>
          <w:p>
            <w:r>
              <w:br/>
            </w:r>
          </w:p>
        </w:tc>
      </w:tr>
    </w:tbl>
    <w:p>
      <w:pPr>
        <w:pStyle w:val="Caption"/>
      </w:pPr>
      <w:r>
        <w:fldChar w:fldCharType="begin"/>
      </w:r>
      <w:r>
        <w:instrText xml:space="preserve"> SEQ TABLE \* ARABIC </w:instrText>
      </w:r>
      <w:r>
        <w:fldChar w:fldCharType="end"/>
      </w:r>
      <w:r>
        <w:rPr>
          <w:rStyle w:val="row-content-rich-text"/>
        </w:rPr>
        <w:t xml:space="preserv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to:</w:t>
            </w:r>
          </w:p>
        </w:tc>
        <w:tc>
          <w:tcPr>
            <w:tcBorders>
              <w:top w:val="none" w:color="000000" w:sz="0"/>
              <w:left w:val="none" w:color="000000" w:sz="0"/>
              <w:bottom w:val="none" w:color="000000" w:sz="0"/>
              <w:right w:val="none" w:color="000000" w:sz="0"/>
            </w:tcBorders>
            <w:vAlign w:val="top"/>
          </w:tcPr>
          <w:p>
            <w:pPr/>
            <w:r>
              <w:rPr>
                <w:rStyle w:val="row-content-rich-text"/>
              </w:rPr>
              <w:t xml:space="preserve">74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Deaths are defined as avoidable in the context of the present health system.</w:t>
            </w:r>
          </w:p>
          <w:p>
            <w:pPr>
              <w:spacing w:after="160"/>
            </w:pPr>
            <w:r>
              <w:rPr>
                <w:rStyle w:val="row-content-rich-text"/>
              </w:rPr>
              <w:t xml:space="preserve">International Classification of Diseases (ICD-10, 2015 version) codes in scope are as specified below:</w:t>
            </w:r>
          </w:p>
          <w:tbl>
            <w:tblPr>
              <w:tblStyle w:val="TableGrid"/>
              <w:tblW w:w="5000" w:type="pct"/>
              <w:tblLayout w:type="autofit"/>
            </w:tblPr>
            <w:tblGrid>
              <w:gridCol/>
              <w:gridCol/>
              <w:gridCol/>
            </w:tblGrid>
            <w:tr>
              <w:trPr/>
              <w:tc>
                <w:tcPr>
                  <w:tcW w:w="2500" w:type="pct"/>
                  <w:vAlign w:val="top"/>
                </w:tcPr>
                <w:p>
                  <w:pPr/>
                  <w:r>
                    <w:rPr>
                      <w:rStyle w:val="row-content-rich-text"/>
                    </w:rPr>
                    <w:t xml:space="preserve"> </w:t>
                  </w:r>
                  <w:r>
                    <w:rPr>
                      <w:rStyle w:val="row-content-rich-text"/>
                      <w:b/>
                    </w:rPr>
                    <w:t xml:space="preserve">Cause of death groups</w:t>
                  </w:r>
                </w:p>
              </w:tc>
              <w:tc>
                <w:tcPr>
                  <w:tcW w:w="2050" w:type="pct"/>
                  <w:vAlign w:val="top"/>
                </w:tcPr>
                <w:p>
                  <w:r>
                    <w:rPr>
                      <w:b/>
                    </w:rPr>
                    <w:t xml:space="preserve">ICD-10 Codes</w:t>
                  </w:r>
                </w:p>
              </w:tc>
              <w:tc>
                <w:tcPr>
                  <w:tcW w:w="400" w:type="pct"/>
                  <w:vAlign w:val="top"/>
                </w:tcPr>
                <w:p>
                  <w:r>
                    <w:rPr>
                      <w:b/>
                    </w:rPr>
                    <w:t xml:space="preserve">Limits (age, sex)</w:t>
                  </w:r>
                </w:p>
              </w:tc>
            </w:tr>
            <w:tr>
              <w:trPr/>
              <w:tc>
                <w:tcPr>
                  <w:tcW w:w="2500" w:type="pct"/>
                  <w:vAlign w:val="top"/>
                </w:tcPr>
                <w:p>
                  <w:r>
                    <w:rPr>
                      <w:b/>
                    </w:rPr>
                    <w:t xml:space="preserve">Infections</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Selected invasive infections</w:t>
                  </w:r>
                </w:p>
              </w:tc>
              <w:tc>
                <w:tcPr>
                  <w:tcW w:w="2050" w:type="pct"/>
                  <w:vAlign w:val="top"/>
                </w:tcPr>
                <w:p>
                  <w:r>
                    <w:t xml:space="preserve">A38–A41, A46, A48.1, G00, G03, J02.0, J13–J16, J18, L03</w:t>
                  </w:r>
                </w:p>
              </w:tc>
              <w:tc>
                <w:tcPr>
                  <w:tcW w:w="400" w:type="pct"/>
                  <w:vAlign w:val="top"/>
                </w:tcPr>
                <w:p>
                  <w:r>
                    <w:t xml:space="preserve"> </w:t>
                  </w:r>
                </w:p>
              </w:tc>
            </w:tr>
            <w:tr>
              <w:trPr/>
              <w:tc>
                <w:tcPr>
                  <w:tcW w:w="2500" w:type="pct"/>
                  <w:vAlign w:val="top"/>
                </w:tcPr>
                <w:p>
                  <w:r>
                    <w:t xml:space="preserve">Viral pneumonia and influenza</w:t>
                  </w:r>
                </w:p>
              </w:tc>
              <w:tc>
                <w:tcPr>
                  <w:tcW w:w="2050" w:type="pct"/>
                  <w:vAlign w:val="top"/>
                </w:tcPr>
                <w:p>
                  <w:r>
                    <w:t xml:space="preserve">J10–J12</w:t>
                  </w:r>
                </w:p>
              </w:tc>
              <w:tc>
                <w:tcPr>
                  <w:tcW w:w="400" w:type="pct"/>
                  <w:vAlign w:val="top"/>
                </w:tcPr>
                <w:p>
                  <w:r>
                    <w:t xml:space="preserve"> </w:t>
                  </w:r>
                </w:p>
              </w:tc>
            </w:tr>
            <w:tr>
              <w:trPr/>
              <w:tc>
                <w:tcPr>
                  <w:tcW w:w="2500" w:type="pct"/>
                  <w:vAlign w:val="top"/>
                </w:tcPr>
                <w:p>
                  <w:r>
                    <w:t xml:space="preserve">HIV/AIDS</w:t>
                  </w:r>
                </w:p>
              </w:tc>
              <w:tc>
                <w:tcPr>
                  <w:tcW w:w="2050" w:type="pct"/>
                  <w:vAlign w:val="top"/>
                </w:tcPr>
                <w:p>
                  <w:r>
                    <w:t xml:space="preserve">B20–B24</w:t>
                  </w:r>
                </w:p>
              </w:tc>
              <w:tc>
                <w:tcPr>
                  <w:tcW w:w="400" w:type="pct"/>
                  <w:vAlign w:val="top"/>
                </w:tcPr>
                <w:p>
                  <w:r>
                    <w:t xml:space="preserve"> </w:t>
                  </w:r>
                </w:p>
              </w:tc>
            </w:tr>
            <w:tr>
              <w:trPr/>
              <w:tc>
                <w:tcPr>
                  <w:tcW w:w="2500" w:type="pct"/>
                  <w:vAlign w:val="top"/>
                </w:tcPr>
                <w:p>
                  <w:r>
                    <w:rPr>
                      <w:b/>
                    </w:rPr>
                    <w:t xml:space="preserve">Cancer</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Colorectal</w:t>
                  </w:r>
                </w:p>
              </w:tc>
              <w:tc>
                <w:tcPr>
                  <w:tcW w:w="2050" w:type="pct"/>
                  <w:vAlign w:val="top"/>
                </w:tcPr>
                <w:p>
                  <w:r>
                    <w:t xml:space="preserve">C18–C21</w:t>
                  </w:r>
                </w:p>
              </w:tc>
              <w:tc>
                <w:tcPr>
                  <w:tcW w:w="400" w:type="pct"/>
                  <w:vAlign w:val="top"/>
                </w:tcPr>
                <w:p>
                  <w:r>
                    <w:t xml:space="preserve"> </w:t>
                  </w:r>
                </w:p>
              </w:tc>
            </w:tr>
            <w:tr>
              <w:trPr/>
              <w:tc>
                <w:tcPr>
                  <w:tcW w:w="2500" w:type="pct"/>
                  <w:vAlign w:val="top"/>
                </w:tcPr>
                <w:p>
                  <w:r>
                    <w:t xml:space="preserve">Skin</w:t>
                  </w:r>
                </w:p>
              </w:tc>
              <w:tc>
                <w:tcPr>
                  <w:tcW w:w="2050" w:type="pct"/>
                  <w:vAlign w:val="top"/>
                </w:tcPr>
                <w:p>
                  <w:r>
                    <w:t xml:space="preserve">C43, C44</w:t>
                  </w:r>
                </w:p>
              </w:tc>
              <w:tc>
                <w:tcPr>
                  <w:tcW w:w="400" w:type="pct"/>
                  <w:vAlign w:val="top"/>
                </w:tcPr>
                <w:p>
                  <w:r>
                    <w:t xml:space="preserve"> </w:t>
                  </w:r>
                </w:p>
              </w:tc>
            </w:tr>
            <w:tr>
              <w:trPr/>
              <w:tc>
                <w:tcPr>
                  <w:tcW w:w="2500" w:type="pct"/>
                  <w:vAlign w:val="top"/>
                </w:tcPr>
                <w:p>
                  <w:r>
                    <w:t xml:space="preserve">Breast</w:t>
                  </w:r>
                </w:p>
              </w:tc>
              <w:tc>
                <w:tcPr>
                  <w:tcW w:w="2050" w:type="pct"/>
                  <w:vAlign w:val="top"/>
                </w:tcPr>
                <w:p>
                  <w:r>
                    <w:t xml:space="preserve">C50</w:t>
                  </w:r>
                </w:p>
              </w:tc>
              <w:tc>
                <w:tcPr>
                  <w:tcW w:w="400" w:type="pct"/>
                  <w:vAlign w:val="top"/>
                </w:tcPr>
                <w:p>
                  <w:r>
                    <w:t xml:space="preserve">Female</w:t>
                  </w:r>
                </w:p>
              </w:tc>
            </w:tr>
            <w:tr>
              <w:trPr/>
              <w:tc>
                <w:tcPr>
                  <w:tcW w:w="2500" w:type="pct"/>
                  <w:vAlign w:val="top"/>
                </w:tcPr>
                <w:p>
                  <w:r>
                    <w:t xml:space="preserve">Cervix</w:t>
                  </w:r>
                </w:p>
              </w:tc>
              <w:tc>
                <w:tcPr>
                  <w:tcW w:w="2050" w:type="pct"/>
                  <w:vAlign w:val="top"/>
                </w:tcPr>
                <w:p>
                  <w:r>
                    <w:t xml:space="preserve">C53</w:t>
                  </w:r>
                </w:p>
              </w:tc>
              <w:tc>
                <w:tcPr>
                  <w:tcW w:w="400" w:type="pct"/>
                  <w:vAlign w:val="top"/>
                </w:tcPr>
                <w:p>
                  <w:r>
                    <w:t xml:space="preserve"> </w:t>
                  </w:r>
                </w:p>
              </w:tc>
            </w:tr>
            <w:tr>
              <w:trPr/>
              <w:tc>
                <w:tcPr>
                  <w:tcW w:w="2500" w:type="pct"/>
                  <w:vAlign w:val="top"/>
                </w:tcPr>
                <w:p>
                  <w:r>
                    <w:t xml:space="preserve">Prostate</w:t>
                  </w:r>
                </w:p>
              </w:tc>
              <w:tc>
                <w:tcPr>
                  <w:tcW w:w="2050" w:type="pct"/>
                  <w:vAlign w:val="top"/>
                </w:tcPr>
                <w:p>
                  <w:r>
                    <w:t xml:space="preserve">C61</w:t>
                  </w:r>
                </w:p>
              </w:tc>
              <w:tc>
                <w:tcPr>
                  <w:tcW w:w="400" w:type="pct"/>
                  <w:vAlign w:val="top"/>
                </w:tcPr>
                <w:p>
                  <w:r>
                    <w:t xml:space="preserve"> </w:t>
                  </w:r>
                </w:p>
              </w:tc>
            </w:tr>
            <w:tr>
              <w:trPr/>
              <w:tc>
                <w:tcPr>
                  <w:tcW w:w="2500" w:type="pct"/>
                  <w:vAlign w:val="top"/>
                </w:tcPr>
                <w:p>
                  <w:r>
                    <w:t xml:space="preserve">Kidney</w:t>
                  </w:r>
                </w:p>
              </w:tc>
              <w:tc>
                <w:tcPr>
                  <w:tcW w:w="2050" w:type="pct"/>
                  <w:vAlign w:val="top"/>
                </w:tcPr>
                <w:p>
                  <w:r>
                    <w:t xml:space="preserve">C64</w:t>
                  </w:r>
                </w:p>
              </w:tc>
              <w:tc>
                <w:tcPr>
                  <w:tcW w:w="400" w:type="pct"/>
                  <w:vAlign w:val="top"/>
                </w:tcPr>
                <w:p>
                  <w:r>
                    <w:t xml:space="preserve"> </w:t>
                  </w:r>
                </w:p>
              </w:tc>
            </w:tr>
            <w:tr>
              <w:trPr/>
              <w:tc>
                <w:tcPr>
                  <w:tcW w:w="2500" w:type="pct"/>
                  <w:vAlign w:val="top"/>
                </w:tcPr>
                <w:p>
                  <w:r>
                    <w:t xml:space="preserve">Thyroid</w:t>
                  </w:r>
                </w:p>
              </w:tc>
              <w:tc>
                <w:tcPr>
                  <w:tcW w:w="2050" w:type="pct"/>
                  <w:vAlign w:val="top"/>
                </w:tcPr>
                <w:p>
                  <w:r>
                    <w:t xml:space="preserve">C73</w:t>
                  </w:r>
                </w:p>
              </w:tc>
              <w:tc>
                <w:tcPr>
                  <w:tcW w:w="400" w:type="pct"/>
                  <w:vAlign w:val="top"/>
                </w:tcPr>
                <w:p>
                  <w:r>
                    <w:t xml:space="preserve"> </w:t>
                  </w:r>
                </w:p>
              </w:tc>
            </w:tr>
            <w:tr>
              <w:trPr/>
              <w:tc>
                <w:tcPr>
                  <w:tcW w:w="2500" w:type="pct"/>
                  <w:vAlign w:val="top"/>
                </w:tcPr>
                <w:p>
                  <w:r>
                    <w:t xml:space="preserve">Hodgkin's disease</w:t>
                  </w:r>
                </w:p>
              </w:tc>
              <w:tc>
                <w:tcPr>
                  <w:tcW w:w="2050" w:type="pct"/>
                  <w:vAlign w:val="top"/>
                </w:tcPr>
                <w:p>
                  <w:r>
                    <w:t xml:space="preserve">C81</w:t>
                  </w:r>
                </w:p>
              </w:tc>
              <w:tc>
                <w:tcPr>
                  <w:tcW w:w="400" w:type="pct"/>
                  <w:vAlign w:val="top"/>
                </w:tcPr>
                <w:p>
                  <w:r>
                    <w:t xml:space="preserve"> </w:t>
                  </w:r>
                </w:p>
              </w:tc>
            </w:tr>
            <w:tr>
              <w:trPr/>
              <w:tc>
                <w:tcPr>
                  <w:tcW w:w="2500" w:type="pct"/>
                  <w:vAlign w:val="top"/>
                </w:tcPr>
                <w:p>
                  <w:r>
                    <w:t xml:space="preserve">Acute lymphoid leukaemia/Acute lymphoblastic leukaemia</w:t>
                  </w:r>
                </w:p>
              </w:tc>
              <w:tc>
                <w:tcPr>
                  <w:tcW w:w="2050" w:type="pct"/>
                  <w:vAlign w:val="top"/>
                </w:tcPr>
                <w:p>
                  <w:r>
                    <w:t xml:space="preserve">C91.0</w:t>
                  </w:r>
                </w:p>
              </w:tc>
              <w:tc>
                <w:tcPr>
                  <w:tcW w:w="400" w:type="pct"/>
                  <w:vAlign w:val="top"/>
                </w:tcPr>
                <w:p>
                  <w:r>
                    <w:t xml:space="preserve">0-44 years</w:t>
                  </w:r>
                </w:p>
              </w:tc>
            </w:tr>
            <w:tr>
              <w:trPr/>
              <w:tc>
                <w:tcPr>
                  <w:tcW w:w="2500" w:type="pct"/>
                  <w:vAlign w:val="top"/>
                </w:tcPr>
                <w:p>
                  <w:r>
                    <w:rPr>
                      <w:b/>
                    </w:rPr>
                    <w:t xml:space="preserve">Diabetes</w:t>
                  </w:r>
                </w:p>
              </w:tc>
              <w:tc>
                <w:tcPr>
                  <w:tcW w:w="2050" w:type="pct"/>
                  <w:vAlign w:val="top"/>
                </w:tcPr>
                <w:p>
                  <w:r>
                    <w:t xml:space="preserve">E10–E14</w:t>
                  </w:r>
                </w:p>
              </w:tc>
              <w:tc>
                <w:tcPr>
                  <w:tcW w:w="400" w:type="pct"/>
                  <w:vAlign w:val="top"/>
                </w:tcPr>
                <w:p>
                  <w:r>
                    <w:t xml:space="preserve"> </w:t>
                  </w:r>
                </w:p>
              </w:tc>
            </w:tr>
            <w:tr>
              <w:trPr/>
              <w:tc>
                <w:tcPr>
                  <w:tcW w:w="2500" w:type="pct"/>
                  <w:vAlign w:val="top"/>
                </w:tcPr>
                <w:p>
                  <w:r>
                    <w:rPr>
                      <w:b/>
                    </w:rPr>
                    <w:t xml:space="preserve">Diseases of the circulatory system</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Rheumatic and other valvular heart disease</w:t>
                  </w:r>
                </w:p>
              </w:tc>
              <w:tc>
                <w:tcPr>
                  <w:tcW w:w="2050" w:type="pct"/>
                  <w:vAlign w:val="top"/>
                </w:tcPr>
                <w:p>
                  <w:r>
                    <w:t xml:space="preserve">I00–I09, I33–I37</w:t>
                  </w:r>
                </w:p>
              </w:tc>
              <w:tc>
                <w:tcPr>
                  <w:tcW w:w="400" w:type="pct"/>
                  <w:vAlign w:val="top"/>
                </w:tcPr>
                <w:p>
                  <w:r>
                    <w:t xml:space="preserve"> </w:t>
                  </w:r>
                </w:p>
              </w:tc>
            </w:tr>
            <w:tr>
              <w:trPr/>
              <w:tc>
                <w:tcPr>
                  <w:tcW w:w="2500" w:type="pct"/>
                  <w:vAlign w:val="top"/>
                </w:tcPr>
                <w:p>
                  <w:r>
                    <w:t xml:space="preserve">Hypertensive heart and renal disease</w:t>
                  </w:r>
                </w:p>
              </w:tc>
              <w:tc>
                <w:tcPr>
                  <w:tcW w:w="2050" w:type="pct"/>
                  <w:vAlign w:val="top"/>
                </w:tcPr>
                <w:p>
                  <w:r>
                    <w:t xml:space="preserve">I10–I13</w:t>
                  </w:r>
                </w:p>
              </w:tc>
              <w:tc>
                <w:tcPr>
                  <w:tcW w:w="400" w:type="pct"/>
                  <w:vAlign w:val="top"/>
                </w:tcPr>
                <w:p>
                  <w:r>
                    <w:t xml:space="preserve"> </w:t>
                  </w:r>
                </w:p>
              </w:tc>
            </w:tr>
            <w:tr>
              <w:trPr/>
              <w:tc>
                <w:tcPr>
                  <w:tcW w:w="2500" w:type="pct"/>
                  <w:vAlign w:val="top"/>
                </w:tcPr>
                <w:p>
                  <w:r>
                    <w:t xml:space="preserve">Ischaemic heart disease</w:t>
                  </w:r>
                </w:p>
              </w:tc>
              <w:tc>
                <w:tcPr>
                  <w:tcW w:w="2050" w:type="pct"/>
                  <w:vAlign w:val="top"/>
                </w:tcPr>
                <w:p>
                  <w:r>
                    <w:t xml:space="preserve">I20–I25</w:t>
                  </w:r>
                </w:p>
              </w:tc>
              <w:tc>
                <w:tcPr>
                  <w:tcW w:w="400" w:type="pct"/>
                  <w:vAlign w:val="top"/>
                </w:tcPr>
                <w:p>
                  <w:r>
                    <w:t xml:space="preserve"> </w:t>
                  </w:r>
                </w:p>
              </w:tc>
            </w:tr>
            <w:tr>
              <w:trPr/>
              <w:tc>
                <w:tcPr>
                  <w:tcW w:w="2500" w:type="pct"/>
                  <w:vAlign w:val="top"/>
                </w:tcPr>
                <w:p>
                  <w:r>
                    <w:t xml:space="preserve">Cerebrovascular diseases</w:t>
                  </w:r>
                </w:p>
              </w:tc>
              <w:tc>
                <w:tcPr>
                  <w:tcW w:w="2050" w:type="pct"/>
                  <w:vAlign w:val="top"/>
                </w:tcPr>
                <w:p>
                  <w:r>
                    <w:t xml:space="preserve">I60–I69</w:t>
                  </w:r>
                </w:p>
              </w:tc>
              <w:tc>
                <w:tcPr>
                  <w:tcW w:w="400" w:type="pct"/>
                  <w:vAlign w:val="top"/>
                </w:tcPr>
                <w:p>
                  <w:r>
                    <w:t xml:space="preserve"> </w:t>
                  </w:r>
                </w:p>
              </w:tc>
            </w:tr>
            <w:tr>
              <w:trPr/>
              <w:tc>
                <w:tcPr>
                  <w:tcW w:w="2500" w:type="pct"/>
                  <w:vAlign w:val="top"/>
                </w:tcPr>
                <w:p>
                  <w:r>
                    <w:t xml:space="preserve">Heart failure</w:t>
                  </w:r>
                </w:p>
              </w:tc>
              <w:tc>
                <w:tcPr>
                  <w:tcW w:w="2050" w:type="pct"/>
                  <w:vAlign w:val="top"/>
                </w:tcPr>
                <w:p>
                  <w:r>
                    <w:t xml:space="preserve">I50, I51.1, I51.2, I51.4, I51.5</w:t>
                  </w:r>
                </w:p>
              </w:tc>
              <w:tc>
                <w:tcPr>
                  <w:tcW w:w="400" w:type="pct"/>
                  <w:vAlign w:val="top"/>
                </w:tcPr>
                <w:p>
                  <w:r>
                    <w:t xml:space="preserve"> </w:t>
                  </w:r>
                </w:p>
              </w:tc>
            </w:tr>
            <w:tr>
              <w:trPr/>
              <w:tc>
                <w:tcPr>
                  <w:tcW w:w="2500" w:type="pct"/>
                  <w:vAlign w:val="top"/>
                </w:tcPr>
                <w:p>
                  <w:r>
                    <w:t xml:space="preserve">Pulmonary embolism</w:t>
                  </w:r>
                </w:p>
              </w:tc>
              <w:tc>
                <w:tcPr>
                  <w:tcW w:w="2050" w:type="pct"/>
                  <w:vAlign w:val="top"/>
                </w:tcPr>
                <w:p>
                  <w:r>
                    <w:t xml:space="preserve">I26</w:t>
                  </w:r>
                </w:p>
              </w:tc>
              <w:tc>
                <w:tcPr>
                  <w:tcW w:w="400" w:type="pct"/>
                  <w:vAlign w:val="top"/>
                </w:tcPr>
                <w:p>
                  <w:r>
                    <w:t xml:space="preserve"> </w:t>
                  </w:r>
                </w:p>
              </w:tc>
            </w:tr>
            <w:tr>
              <w:trPr/>
              <w:tc>
                <w:tcPr>
                  <w:tcW w:w="2500" w:type="pct"/>
                  <w:vAlign w:val="top"/>
                </w:tcPr>
                <w:p>
                  <w:r>
                    <w:rPr>
                      <w:b/>
                    </w:rPr>
                    <w:t xml:space="preserve">Diseases of the genitourinary system</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Renal failure</w:t>
                  </w:r>
                </w:p>
              </w:tc>
              <w:tc>
                <w:tcPr>
                  <w:tcW w:w="2050" w:type="pct"/>
                  <w:vAlign w:val="top"/>
                </w:tcPr>
                <w:p>
                  <w:r>
                    <w:t xml:space="preserve">N17–N19</w:t>
                  </w:r>
                </w:p>
              </w:tc>
              <w:tc>
                <w:tcPr>
                  <w:tcW w:w="400" w:type="pct"/>
                  <w:vAlign w:val="top"/>
                </w:tcPr>
                <w:p>
                  <w:r>
                    <w:t xml:space="preserve"> </w:t>
                  </w:r>
                </w:p>
              </w:tc>
            </w:tr>
            <w:tr>
              <w:trPr/>
              <w:tc>
                <w:tcPr>
                  <w:tcW w:w="2500" w:type="pct"/>
                  <w:vAlign w:val="top"/>
                </w:tcPr>
                <w:p>
                  <w:r>
                    <w:rPr>
                      <w:b/>
                    </w:rPr>
                    <w:t xml:space="preserve">Diseases of the respiratory system</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COPD</w:t>
                  </w:r>
                </w:p>
              </w:tc>
              <w:tc>
                <w:tcPr>
                  <w:tcW w:w="2050" w:type="pct"/>
                  <w:vAlign w:val="top"/>
                </w:tcPr>
                <w:p>
                  <w:r>
                    <w:t xml:space="preserve">J40–J44</w:t>
                  </w:r>
                </w:p>
              </w:tc>
              <w:tc>
                <w:tcPr>
                  <w:tcW w:w="400" w:type="pct"/>
                  <w:vAlign w:val="top"/>
                </w:tcPr>
                <w:p>
                  <w:r>
                    <w:t xml:space="preserve"> </w:t>
                  </w:r>
                </w:p>
              </w:tc>
            </w:tr>
            <w:tr>
              <w:trPr/>
              <w:tc>
                <w:tcPr>
                  <w:tcW w:w="2500" w:type="pct"/>
                  <w:vAlign w:val="top"/>
                </w:tcPr>
                <w:p>
                  <w:r>
                    <w:t xml:space="preserve">Asthma</w:t>
                  </w:r>
                </w:p>
              </w:tc>
              <w:tc>
                <w:tcPr>
                  <w:tcW w:w="2050" w:type="pct"/>
                  <w:vAlign w:val="top"/>
                </w:tcPr>
                <w:p>
                  <w:r>
                    <w:t xml:space="preserve">J45, J46</w:t>
                  </w:r>
                </w:p>
              </w:tc>
              <w:tc>
                <w:tcPr>
                  <w:tcW w:w="400" w:type="pct"/>
                  <w:vAlign w:val="top"/>
                </w:tcPr>
                <w:p>
                  <w:r>
                    <w:t xml:space="preserve"> </w:t>
                  </w:r>
                </w:p>
              </w:tc>
            </w:tr>
            <w:tr>
              <w:trPr/>
              <w:tc>
                <w:tcPr>
                  <w:tcW w:w="2500" w:type="pct"/>
                  <w:vAlign w:val="top"/>
                </w:tcPr>
                <w:p>
                  <w:r>
                    <w:rPr>
                      <w:b/>
                    </w:rPr>
                    <w:t xml:space="preserve">Diseases of the digestive system</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Peptic ulcer disease</w:t>
                  </w:r>
                </w:p>
              </w:tc>
              <w:tc>
                <w:tcPr>
                  <w:tcW w:w="2050" w:type="pct"/>
                  <w:vAlign w:val="top"/>
                </w:tcPr>
                <w:p>
                  <w:r>
                    <w:t xml:space="preserve">K25–K27</w:t>
                  </w:r>
                </w:p>
              </w:tc>
              <w:tc>
                <w:tcPr>
                  <w:tcW w:w="400" w:type="pct"/>
                  <w:vAlign w:val="top"/>
                </w:tcPr>
                <w:p>
                  <w:r>
                    <w:t xml:space="preserve"> </w:t>
                  </w:r>
                </w:p>
              </w:tc>
            </w:tr>
            <w:tr>
              <w:trPr/>
              <w:tc>
                <w:tcPr>
                  <w:tcW w:w="2500" w:type="pct"/>
                  <w:vAlign w:val="top"/>
                </w:tcPr>
                <w:p>
                  <w:r>
                    <w:rPr>
                      <w:b/>
                    </w:rPr>
                    <w:t xml:space="preserve">Maternal &amp; infant causes</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Complications of the perinatal period</w:t>
                  </w:r>
                </w:p>
              </w:tc>
              <w:tc>
                <w:tcPr>
                  <w:tcW w:w="2050" w:type="pct"/>
                  <w:vAlign w:val="top"/>
                </w:tcPr>
                <w:p>
                  <w:r>
                    <w:t xml:space="preserve">P00–P96</w:t>
                  </w:r>
                </w:p>
              </w:tc>
              <w:tc>
                <w:tcPr>
                  <w:tcW w:w="400" w:type="pct"/>
                  <w:vAlign w:val="top"/>
                </w:tcPr>
                <w:p>
                  <w:r>
                    <w:t xml:space="preserve"> </w:t>
                  </w:r>
                </w:p>
              </w:tc>
            </w:tr>
            <w:tr>
              <w:trPr/>
              <w:tc>
                <w:tcPr>
                  <w:tcW w:w="2500" w:type="pct"/>
                  <w:vAlign w:val="top"/>
                </w:tcPr>
                <w:p>
                  <w:r>
                    <w:rPr>
                      <w:b/>
                    </w:rPr>
                    <w:t xml:space="preserve">Other conditions</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Complications of pregnancy, labour or the puerperium</w:t>
                  </w:r>
                </w:p>
              </w:tc>
              <w:tc>
                <w:tcPr>
                  <w:tcW w:w="2050" w:type="pct"/>
                  <w:vAlign w:val="top"/>
                </w:tcPr>
                <w:p>
                  <w:r>
                    <w:t xml:space="preserve">O00–O99</w:t>
                  </w:r>
                </w:p>
              </w:tc>
              <w:tc>
                <w:tcPr>
                  <w:tcW w:w="400" w:type="pct"/>
                  <w:vAlign w:val="top"/>
                </w:tcPr>
                <w:p>
                  <w:r>
                    <w:t xml:space="preserve"> </w:t>
                  </w:r>
                </w:p>
              </w:tc>
            </w:tr>
            <w:tr>
              <w:trPr/>
              <w:tc>
                <w:tcPr>
                  <w:tcW w:w="2500" w:type="pct"/>
                  <w:vAlign w:val="top"/>
                </w:tcPr>
                <w:p>
                  <w:r>
                    <w:rPr>
                      <w:b/>
                    </w:rPr>
                    <w:t xml:space="preserve">Selected external causes of morbidity and mortality</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Falls</w:t>
                  </w:r>
                </w:p>
              </w:tc>
              <w:tc>
                <w:tcPr>
                  <w:tcW w:w="2050" w:type="pct"/>
                  <w:vAlign w:val="top"/>
                </w:tcPr>
                <w:p>
                  <w:r>
                    <w:t xml:space="preserve">W00–W19</w:t>
                  </w:r>
                </w:p>
              </w:tc>
              <w:tc>
                <w:tcPr>
                  <w:tcW w:w="400" w:type="pct"/>
                  <w:vAlign w:val="top"/>
                </w:tcPr>
                <w:p>
                  <w:r>
                    <w:t xml:space="preserve"> </w:t>
                  </w:r>
                </w:p>
              </w:tc>
            </w:tr>
            <w:tr>
              <w:trPr/>
              <w:tc>
                <w:tcPr>
                  <w:tcW w:w="2500" w:type="pct"/>
                  <w:vAlign w:val="top"/>
                </w:tcPr>
                <w:p>
                  <w:r>
                    <w:t xml:space="preserve">Fires, burns</w:t>
                  </w:r>
                </w:p>
              </w:tc>
              <w:tc>
                <w:tcPr>
                  <w:tcW w:w="2050" w:type="pct"/>
                  <w:vAlign w:val="top"/>
                </w:tcPr>
                <w:p>
                  <w:r>
                    <w:t xml:space="preserve">X00–X09</w:t>
                  </w:r>
                </w:p>
              </w:tc>
              <w:tc>
                <w:tcPr>
                  <w:tcW w:w="400" w:type="pct"/>
                  <w:vAlign w:val="top"/>
                </w:tcPr>
                <w:p>
                  <w:r>
                    <w:t xml:space="preserve"> </w:t>
                  </w:r>
                </w:p>
              </w:tc>
            </w:tr>
            <w:tr>
              <w:trPr/>
              <w:tc>
                <w:tcPr>
                  <w:tcW w:w="2500" w:type="pct"/>
                  <w:vAlign w:val="top"/>
                </w:tcPr>
                <w:p>
                  <w:r>
                    <w:t xml:space="preserve">Suicide and self-inflicted injuries</w:t>
                  </w:r>
                </w:p>
              </w:tc>
              <w:tc>
                <w:tcPr>
                  <w:tcW w:w="2050" w:type="pct"/>
                  <w:vAlign w:val="top"/>
                </w:tcPr>
                <w:p>
                  <w:r>
                    <w:t xml:space="preserve">X60–X84, Y87.0</w:t>
                  </w:r>
                </w:p>
              </w:tc>
              <w:tc>
                <w:tcPr>
                  <w:tcW w:w="400" w:type="pct"/>
                  <w:vAlign w:val="top"/>
                </w:tcPr>
                <w:p>
                  <w:r>
                    <w:t xml:space="preserve"> </w:t>
                  </w:r>
                </w:p>
              </w:tc>
            </w:tr>
            <w:tr>
              <w:trPr/>
              <w:tc>
                <w:tcPr>
                  <w:tcW w:w="2500" w:type="pct"/>
                  <w:vAlign w:val="top"/>
                </w:tcPr>
                <w:p>
                  <w:r>
                    <w:t xml:space="preserve">Misadventures to patients during surgical and medical care</w:t>
                  </w:r>
                </w:p>
              </w:tc>
              <w:tc>
                <w:tcPr>
                  <w:tcW w:w="2050" w:type="pct"/>
                  <w:vAlign w:val="top"/>
                </w:tcPr>
                <w:p>
                  <w:r>
                    <w:t xml:space="preserve">Y60–Y69</w:t>
                  </w:r>
                </w:p>
              </w:tc>
              <w:tc>
                <w:tcPr>
                  <w:tcW w:w="400" w:type="pct"/>
                  <w:vAlign w:val="top"/>
                </w:tcPr>
                <w:p>
                  <w:r>
                    <w:t xml:space="preserve"> </w:t>
                  </w:r>
                </w:p>
              </w:tc>
            </w:tr>
            <w:tr>
              <w:trPr/>
              <w:tc>
                <w:tcPr>
                  <w:tcW w:w="2500" w:type="pct"/>
                  <w:vAlign w:val="top"/>
                </w:tcPr>
                <w:p>
                  <w:r>
                    <w:t xml:space="preserve">Medical devices associated with adverse incidents in diagnostic and therapeutic use</w:t>
                  </w:r>
                </w:p>
              </w:tc>
              <w:tc>
                <w:tcPr>
                  <w:tcW w:w="2050" w:type="pct"/>
                  <w:vAlign w:val="top"/>
                </w:tcPr>
                <w:p>
                  <w:r>
                    <w:t xml:space="preserve">Y70–Y82</w:t>
                  </w:r>
                </w:p>
              </w:tc>
              <w:tc>
                <w:tcPr>
                  <w:tcW w:w="400" w:type="pct"/>
                  <w:vAlign w:val="top"/>
                </w:tcPr>
                <w:p>
                  <w:r>
                    <w:t xml:space="preserve"> </w:t>
                  </w:r>
                </w:p>
              </w:tc>
            </w:tr>
            <w:tr>
              <w:trPr/>
              <w:tc>
                <w:tcPr>
                  <w:tcW w:w="2500" w:type="pct"/>
                  <w:vAlign w:val="top"/>
                </w:tcPr>
                <w:p>
                  <w:r>
                    <w:t xml:space="preserve">Surgical and other medical procedures as the cause of abnormal reaction of the patient, or of later complication, without mention of misadventure at the time of the procedure</w:t>
                  </w:r>
                </w:p>
              </w:tc>
              <w:tc>
                <w:tcPr>
                  <w:tcW w:w="2050" w:type="pct"/>
                  <w:vAlign w:val="top"/>
                </w:tcPr>
                <w:p>
                  <w:r>
                    <w:t xml:space="preserve">Y83, Y84</w:t>
                  </w:r>
                </w:p>
              </w:tc>
              <w:tc>
                <w:tcPr>
                  <w:tcW w:w="400" w:type="pct"/>
                  <w:vAlign w:val="top"/>
                </w:tcPr>
                <w:p>
                  <w:r>
                    <w:t xml:space="preserve"> </w:t>
                  </w:r>
                </w:p>
              </w:tc>
            </w:tr>
            <w:tr>
              <w:trPr/>
              <w:tc>
                <w:tcPr>
                  <w:tcW w:w="2500" w:type="pct"/>
                  <w:vAlign w:val="top"/>
                </w:tcPr>
                <w:p>
                  <w:r>
                    <w:rPr>
                      <w:b/>
                    </w:rPr>
                    <w:t xml:space="preserve">Other external causes of morbidity and mortality</w:t>
                  </w:r>
                </w:p>
              </w:tc>
              <w:tc>
                <w:tcPr>
                  <w:tcW w:w="2050" w:type="pct"/>
                  <w:vAlign w:val="top"/>
                </w:tcPr>
                <w:p>
                  <w:r>
                    <w:t xml:space="preserve"> </w:t>
                  </w:r>
                </w:p>
              </w:tc>
              <w:tc>
                <w:tcPr>
                  <w:tcW w:w="400" w:type="pct"/>
                  <w:vAlign w:val="top"/>
                </w:tcPr>
                <w:p>
                  <w:r>
                    <w:t xml:space="preserve"> </w:t>
                  </w:r>
                </w:p>
              </w:tc>
            </w:tr>
            <w:tr>
              <w:trPr/>
              <w:tc>
                <w:tcPr>
                  <w:tcW w:w="2500" w:type="pct"/>
                  <w:vAlign w:val="top"/>
                </w:tcPr>
                <w:p>
                  <w:r>
                    <w:t xml:space="preserve">Transport accidents</w:t>
                  </w:r>
                </w:p>
              </w:tc>
              <w:tc>
                <w:tcPr>
                  <w:tcW w:w="2050" w:type="pct"/>
                  <w:vAlign w:val="top"/>
                </w:tcPr>
                <w:p>
                  <w:r>
                    <w:t xml:space="preserve">V01–V99</w:t>
                  </w:r>
                </w:p>
              </w:tc>
              <w:tc>
                <w:tcPr>
                  <w:tcW w:w="400" w:type="pct"/>
                  <w:vAlign w:val="top"/>
                </w:tcPr>
                <w:p>
                  <w:r>
                    <w:t xml:space="preserve"> </w:t>
                  </w:r>
                </w:p>
              </w:tc>
            </w:tr>
            <w:tr>
              <w:trPr/>
              <w:tc>
                <w:tcPr>
                  <w:tcW w:w="2500" w:type="pct"/>
                  <w:vAlign w:val="top"/>
                </w:tcPr>
                <w:p>
                  <w:r>
                    <w:t xml:space="preserve">Exposure to inanimate mechanical forces</w:t>
                  </w:r>
                </w:p>
              </w:tc>
              <w:tc>
                <w:tcPr>
                  <w:tcW w:w="2050" w:type="pct"/>
                  <w:vAlign w:val="top"/>
                </w:tcPr>
                <w:p>
                  <w:r>
                    <w:t xml:space="preserve">W20–W49</w:t>
                  </w:r>
                </w:p>
              </w:tc>
              <w:tc>
                <w:tcPr>
                  <w:tcW w:w="400" w:type="pct"/>
                  <w:vAlign w:val="top"/>
                </w:tcPr>
                <w:p>
                  <w:r>
                    <w:t xml:space="preserve"> </w:t>
                  </w:r>
                </w:p>
              </w:tc>
            </w:tr>
            <w:tr>
              <w:trPr/>
              <w:tc>
                <w:tcPr>
                  <w:tcW w:w="2500" w:type="pct"/>
                  <w:vAlign w:val="top"/>
                </w:tcPr>
                <w:p>
                  <w:r>
                    <w:t xml:space="preserve">Exposure to animate mechanical forces</w:t>
                  </w:r>
                </w:p>
              </w:tc>
              <w:tc>
                <w:tcPr>
                  <w:tcW w:w="2050" w:type="pct"/>
                  <w:vAlign w:val="top"/>
                </w:tcPr>
                <w:p>
                  <w:r>
                    <w:t xml:space="preserve">W50–W64</w:t>
                  </w:r>
                </w:p>
              </w:tc>
              <w:tc>
                <w:tcPr>
                  <w:tcW w:w="400" w:type="pct"/>
                  <w:vAlign w:val="top"/>
                </w:tcPr>
                <w:p>
                  <w:r>
                    <w:t xml:space="preserve"> </w:t>
                  </w:r>
                </w:p>
              </w:tc>
            </w:tr>
            <w:tr>
              <w:trPr/>
              <w:tc>
                <w:tcPr>
                  <w:tcW w:w="2500" w:type="pct"/>
                  <w:vAlign w:val="top"/>
                </w:tcPr>
                <w:p>
                  <w:r>
                    <w:t xml:space="preserve">Accidental drowning and submersion</w:t>
                  </w:r>
                </w:p>
              </w:tc>
              <w:tc>
                <w:tcPr>
                  <w:tcW w:w="2050" w:type="pct"/>
                  <w:vAlign w:val="top"/>
                </w:tcPr>
                <w:p>
                  <w:r>
                    <w:t xml:space="preserve">W65–W74</w:t>
                  </w:r>
                </w:p>
              </w:tc>
              <w:tc>
                <w:tcPr>
                  <w:tcW w:w="400" w:type="pct"/>
                  <w:vAlign w:val="top"/>
                </w:tcPr>
                <w:p>
                  <w:r>
                    <w:t xml:space="preserve"> </w:t>
                  </w:r>
                </w:p>
              </w:tc>
            </w:tr>
            <w:tr>
              <w:trPr/>
              <w:tc>
                <w:tcPr>
                  <w:tcW w:w="2500" w:type="pct"/>
                  <w:vAlign w:val="top"/>
                </w:tcPr>
                <w:p>
                  <w:r>
                    <w:t xml:space="preserve">Other accidental threats to breathing</w:t>
                  </w:r>
                </w:p>
              </w:tc>
              <w:tc>
                <w:tcPr>
                  <w:tcW w:w="2050" w:type="pct"/>
                  <w:vAlign w:val="top"/>
                </w:tcPr>
                <w:p>
                  <w:r>
                    <w:t xml:space="preserve">W75–W84</w:t>
                  </w:r>
                </w:p>
              </w:tc>
              <w:tc>
                <w:tcPr>
                  <w:tcW w:w="400" w:type="pct"/>
                  <w:vAlign w:val="top"/>
                </w:tcPr>
                <w:p>
                  <w:r>
                    <w:t xml:space="preserve"> </w:t>
                  </w:r>
                </w:p>
              </w:tc>
            </w:tr>
            <w:tr>
              <w:trPr/>
              <w:tc>
                <w:tcPr>
                  <w:tcW w:w="2500" w:type="pct"/>
                  <w:vAlign w:val="top"/>
                </w:tcPr>
                <w:p>
                  <w:r>
                    <w:t xml:space="preserve">Exposure to electric current, radiation and extreme ambient air temperature and pressure</w:t>
                  </w:r>
                </w:p>
              </w:tc>
              <w:tc>
                <w:tcPr>
                  <w:tcW w:w="2050" w:type="pct"/>
                  <w:vAlign w:val="top"/>
                </w:tcPr>
                <w:p>
                  <w:r>
                    <w:t xml:space="preserve">W85–W99</w:t>
                  </w:r>
                </w:p>
              </w:tc>
              <w:tc>
                <w:tcPr>
                  <w:tcW w:w="400" w:type="pct"/>
                  <w:vAlign w:val="top"/>
                </w:tcPr>
                <w:p>
                  <w:r>
                    <w:t xml:space="preserve"> </w:t>
                  </w:r>
                </w:p>
              </w:tc>
            </w:tr>
            <w:tr>
              <w:trPr/>
              <w:tc>
                <w:tcPr>
                  <w:tcW w:w="2500" w:type="pct"/>
                  <w:vAlign w:val="top"/>
                </w:tcPr>
                <w:p>
                  <w:r>
                    <w:t xml:space="preserve">Contact with heat and hot substances</w:t>
                  </w:r>
                </w:p>
              </w:tc>
              <w:tc>
                <w:tcPr>
                  <w:tcW w:w="2050" w:type="pct"/>
                  <w:vAlign w:val="top"/>
                </w:tcPr>
                <w:p>
                  <w:r>
                    <w:t xml:space="preserve">X10–X19</w:t>
                  </w:r>
                </w:p>
              </w:tc>
              <w:tc>
                <w:tcPr>
                  <w:tcW w:w="400" w:type="pct"/>
                  <w:vAlign w:val="top"/>
                </w:tcPr>
                <w:p>
                  <w:r>
                    <w:t xml:space="preserve"> </w:t>
                  </w:r>
                </w:p>
              </w:tc>
            </w:tr>
            <w:tr>
              <w:trPr/>
              <w:tc>
                <w:tcPr>
                  <w:tcW w:w="2500" w:type="pct"/>
                  <w:vAlign w:val="top"/>
                </w:tcPr>
                <w:p>
                  <w:r>
                    <w:t xml:space="preserve">Contact with venomous animals and plants</w:t>
                  </w:r>
                </w:p>
              </w:tc>
              <w:tc>
                <w:tcPr>
                  <w:tcW w:w="2050" w:type="pct"/>
                  <w:vAlign w:val="top"/>
                </w:tcPr>
                <w:p>
                  <w:r>
                    <w:t xml:space="preserve">X20–X29</w:t>
                  </w:r>
                </w:p>
              </w:tc>
              <w:tc>
                <w:tcPr>
                  <w:tcW w:w="400" w:type="pct"/>
                  <w:vAlign w:val="top"/>
                </w:tcPr>
                <w:p>
                  <w:r>
                    <w:t xml:space="preserve"> </w:t>
                  </w:r>
                </w:p>
              </w:tc>
            </w:tr>
            <w:tr>
              <w:trPr/>
              <w:tc>
                <w:tcPr>
                  <w:tcW w:w="2500" w:type="pct"/>
                  <w:vAlign w:val="top"/>
                </w:tcPr>
                <w:p>
                  <w:r>
                    <w:t xml:space="preserve">Exposure to forces of nature</w:t>
                  </w:r>
                </w:p>
              </w:tc>
              <w:tc>
                <w:tcPr>
                  <w:tcW w:w="2050" w:type="pct"/>
                  <w:vAlign w:val="top"/>
                </w:tcPr>
                <w:p>
                  <w:r>
                    <w:t xml:space="preserve">X30–X39</w:t>
                  </w:r>
                </w:p>
              </w:tc>
              <w:tc>
                <w:tcPr>
                  <w:tcW w:w="400" w:type="pct"/>
                  <w:vAlign w:val="top"/>
                </w:tcPr>
                <w:p>
                  <w:r>
                    <w:t xml:space="preserve"> </w:t>
                  </w:r>
                </w:p>
              </w:tc>
            </w:tr>
            <w:tr>
              <w:trPr/>
              <w:tc>
                <w:tcPr>
                  <w:tcW w:w="2500" w:type="pct"/>
                  <w:vAlign w:val="top"/>
                </w:tcPr>
                <w:p>
                  <w:r>
                    <w:t xml:space="preserve">Accidental poisoning by and exposure to noxious substances</w:t>
                  </w:r>
                </w:p>
              </w:tc>
              <w:tc>
                <w:tcPr>
                  <w:tcW w:w="2050" w:type="pct"/>
                  <w:vAlign w:val="top"/>
                </w:tcPr>
                <w:p>
                  <w:r>
                    <w:t xml:space="preserve">X40–X49</w:t>
                  </w:r>
                </w:p>
              </w:tc>
              <w:tc>
                <w:tcPr>
                  <w:tcW w:w="400" w:type="pct"/>
                  <w:vAlign w:val="top"/>
                </w:tcPr>
                <w:p>
                  <w:r>
                    <w:t xml:space="preserve"> </w:t>
                  </w:r>
                </w:p>
              </w:tc>
            </w:tr>
            <w:tr>
              <w:trPr/>
              <w:tc>
                <w:tcPr>
                  <w:tcW w:w="2500" w:type="pct"/>
                  <w:vAlign w:val="top"/>
                </w:tcPr>
                <w:p>
                  <w:r>
                    <w:t xml:space="preserve">Overexertion, travel and privation</w:t>
                  </w:r>
                </w:p>
              </w:tc>
              <w:tc>
                <w:tcPr>
                  <w:tcW w:w="2050" w:type="pct"/>
                  <w:vAlign w:val="top"/>
                </w:tcPr>
                <w:p>
                  <w:r>
                    <w:t xml:space="preserve">X50–X57</w:t>
                  </w:r>
                </w:p>
              </w:tc>
              <w:tc>
                <w:tcPr>
                  <w:tcW w:w="400" w:type="pct"/>
                  <w:vAlign w:val="top"/>
                </w:tcPr>
                <w:p>
                  <w:r>
                    <w:t xml:space="preserve"> </w:t>
                  </w:r>
                </w:p>
              </w:tc>
            </w:tr>
            <w:tr>
              <w:trPr/>
              <w:tc>
                <w:tcPr>
                  <w:tcW w:w="2500" w:type="pct"/>
                  <w:vAlign w:val="top"/>
                </w:tcPr>
                <w:p>
                  <w:r>
                    <w:t xml:space="preserve">Accidental exposure to other and unspecified factors</w:t>
                  </w:r>
                </w:p>
              </w:tc>
              <w:tc>
                <w:tcPr>
                  <w:tcW w:w="2050" w:type="pct"/>
                  <w:vAlign w:val="top"/>
                </w:tcPr>
                <w:p>
                  <w:r>
                    <w:t xml:space="preserve">X58,X59</w:t>
                  </w:r>
                </w:p>
              </w:tc>
              <w:tc>
                <w:tcPr>
                  <w:tcW w:w="400" w:type="pct"/>
                  <w:vAlign w:val="top"/>
                </w:tcPr>
                <w:p>
                  <w:r>
                    <w:t xml:space="preserve"> </w:t>
                  </w:r>
                </w:p>
              </w:tc>
            </w:tr>
            <w:tr>
              <w:trPr/>
              <w:tc>
                <w:tcPr>
                  <w:tcW w:w="2500" w:type="pct"/>
                  <w:vAlign w:val="top"/>
                </w:tcPr>
                <w:p>
                  <w:r>
                    <w:t xml:space="preserve">Assault</w:t>
                  </w:r>
                </w:p>
              </w:tc>
              <w:tc>
                <w:tcPr>
                  <w:tcW w:w="2050" w:type="pct"/>
                  <w:vAlign w:val="top"/>
                </w:tcPr>
                <w:p>
                  <w:r>
                    <w:t xml:space="preserve">X85–Y09</w:t>
                  </w:r>
                </w:p>
              </w:tc>
              <w:tc>
                <w:tcPr>
                  <w:tcW w:w="400" w:type="pct"/>
                  <w:vAlign w:val="top"/>
                </w:tcPr>
                <w:p>
                  <w:r>
                    <w:t xml:space="preserve"> </w:t>
                  </w:r>
                </w:p>
              </w:tc>
            </w:tr>
            <w:tr>
              <w:trPr/>
              <w:tc>
                <w:tcPr>
                  <w:tcW w:w="2500" w:type="pct"/>
                  <w:vAlign w:val="top"/>
                </w:tcPr>
                <w:p>
                  <w:r>
                    <w:t xml:space="preserve">Event of undetermined intent</w:t>
                  </w:r>
                </w:p>
              </w:tc>
              <w:tc>
                <w:tcPr>
                  <w:tcW w:w="2050" w:type="pct"/>
                  <w:vAlign w:val="top"/>
                </w:tcPr>
                <w:p>
                  <w:r>
                    <w:t xml:space="preserve">Y10–Y34</w:t>
                  </w:r>
                </w:p>
              </w:tc>
              <w:tc>
                <w:tcPr>
                  <w:tcW w:w="400" w:type="pct"/>
                  <w:vAlign w:val="top"/>
                </w:tcPr>
                <w:p>
                  <w:r>
                    <w:t xml:space="preserve"> </w:t>
                  </w:r>
                </w:p>
              </w:tc>
            </w:tr>
            <w:tr>
              <w:trPr/>
              <w:tc>
                <w:tcPr>
                  <w:tcW w:w="2500" w:type="pct"/>
                  <w:vAlign w:val="top"/>
                </w:tcPr>
                <w:p>
                  <w:r>
                    <w:t xml:space="preserve">Legal interventions and operations of war</w:t>
                  </w:r>
                </w:p>
              </w:tc>
              <w:tc>
                <w:tcPr>
                  <w:tcW w:w="2050" w:type="pct"/>
                  <w:vAlign w:val="top"/>
                </w:tcPr>
                <w:p>
                  <w:r>
                    <w:t xml:space="preserve">Y35, Y36</w:t>
                  </w:r>
                </w:p>
              </w:tc>
              <w:tc>
                <w:tcPr>
                  <w:tcW w:w="400" w:type="pct"/>
                  <w:vAlign w:val="top"/>
                </w:tcPr>
                <w:p>
                  <w:r>
                    <w:t xml:space="preserve"> </w:t>
                  </w:r>
                </w:p>
              </w:tc>
            </w:tr>
            <w:tr>
              <w:trPr/>
              <w:tc>
                <w:tcPr>
                  <w:tcW w:w="2500" w:type="pct"/>
                  <w:vAlign w:val="top"/>
                </w:tcPr>
                <w:p>
                  <w:r>
                    <w:t xml:space="preserve">Drugs, medicaments and biological substances causing adverse effects in therapeutic use</w:t>
                  </w:r>
                </w:p>
              </w:tc>
              <w:tc>
                <w:tcPr>
                  <w:tcW w:w="2050" w:type="pct"/>
                  <w:vAlign w:val="top"/>
                </w:tcPr>
                <w:p>
                  <w:r>
                    <w:t xml:space="preserve">Y40–Y59</w:t>
                  </w:r>
                </w:p>
              </w:tc>
              <w:tc>
                <w:tcPr>
                  <w:tcW w:w="400" w:type="pct"/>
                  <w:vAlign w:val="top"/>
                </w:tcPr>
                <w:p>
                  <w:r>
                    <w:t xml:space="preserve"> </w:t>
                  </w:r>
                </w:p>
              </w:tc>
            </w:tr>
            <w:tr>
              <w:trPr/>
              <w:tc>
                <w:tcPr>
                  <w:tcW w:w="2500" w:type="pct"/>
                  <w:vAlign w:val="top"/>
                </w:tcPr>
                <w:p>
                  <w:r>
                    <w:t xml:space="preserve">Sequelae of external causes of morbidity and mortality</w:t>
                  </w:r>
                </w:p>
              </w:tc>
              <w:tc>
                <w:tcPr>
                  <w:tcW w:w="2050" w:type="pct"/>
                  <w:vAlign w:val="top"/>
                </w:tcPr>
                <w:p>
                  <w:r>
                    <w:t xml:space="preserve">Y85, Y86, Y87.1–Y89</w:t>
                  </w:r>
                </w:p>
              </w:tc>
              <w:tc>
                <w:tcPr>
                  <w:tcW w:w="400" w:type="pct"/>
                  <w:vAlign w:val="top"/>
                </w:tcPr>
                <w:p>
                  <w:r>
                    <w:t xml:space="preserve"> </w:t>
                  </w:r>
                </w:p>
              </w:tc>
            </w:tr>
          </w:tbl>
          <w:p>
            <w:r>
              <w:t xml:space="preserve">Rates are directly age-standardised to the 2001 Australian population.</w:t>
            </w:r>
          </w:p>
          <w:p>
            <w:r>
              <w:t xml:space="preserve">Presented per 100,000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w:t>
            </w:r>
          </w:p>
          <w:p>
            <w:pPr/>
            <w:r>
              <w:rPr>
                <w:rStyle w:val="row-content-rich-text"/>
              </w:rPr>
              <w:t xml:space="preserve">100,000 x (Numerator ÷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deaths of persons aged less than 75 categorised as potentially avoidable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Person—age at death, NNNN</w:t>
            </w:r>
          </w:p>
          <w:p>
            <w:r>
              <w:rPr>
                <w:rStyle w:val="row-content"/>
                <w:b/>
              </w:rPr>
              <w:t xml:space="preserve">Data Source</w:t>
            </w:r>
          </w:p>
          <w:p>
            <w:hyperlink w:history="true" r:id="Rd7e0a225302d44c2">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r>
              <w:rPr>
                <w:rStyle w:val="row-content"/>
              </w:rPr>
              <w:t xml:space="preserve">Person—underlying cause of death, code (ICD-10) ANN{.N}</w:t>
            </w:r>
          </w:p>
          <w:p>
            <w:r>
              <w:rPr>
                <w:rStyle w:val="row-content"/>
                <w:b/>
              </w:rPr>
              <w:t xml:space="preserve">Data Source</w:t>
            </w:r>
          </w:p>
          <w:p>
            <w:hyperlink w:history="true" r:id="R652fa02940464db0">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Population aged less than 75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f3076c72e43d40c8">
              <w:r>
                <w:rPr>
                  <w:rStyle w:val="Hyperlink"/>
                </w:rPr>
                <w:t xml:space="preserve">Person—age, total years N[NN]</w:t>
              </w:r>
            </w:hyperlink>
          </w:p>
          <w:p>
            <w:r>
              <w:rPr>
                <w:rStyle w:val="row-content"/>
                <w:b/>
              </w:rPr>
              <w:t xml:space="preserve">Data Source</w:t>
            </w:r>
          </w:p>
          <w:p>
            <w:hyperlink w:history="true" r:id="R5d84f1ba49834ef5">
              <w:r>
                <w:rPr>
                  <w:rStyle w:val="Hyperlink"/>
                </w:rPr>
                <w:t xml:space="preserve">ABS Estimated resident population (2016 Census-based)</w:t>
              </w:r>
            </w:hyperlink>
          </w:p>
          <w:p>
            <w:r>
              <w:rPr>
                <w:rStyle w:val="row-content"/>
                <w:b/>
              </w:rPr>
              <w:t xml:space="preserve">Guide for use</w:t>
            </w:r>
          </w:p>
          <w:p>
            <w:r>
              <w:rPr>
                <w:rStyle w:val="row-content"/>
              </w:rPr>
              <w:t xml:space="preserve">Data source type: Census-based plus administrative by-product data</w:t>
            </w:r>
          </w:p>
          <w:p>
            <w:r>
              <w:rPr>
                <w:rStyle w:val="row-content"/>
              </w:rPr>
              <w:t xml:space="preserve"> </w:t>
            </w:r>
          </w:p>
          <w:p>
            <w:r>
              <w:rPr>
                <w:rStyle w:val="row-content"/>
                <w:b/>
                <w:color w:val="000000"/>
              </w:rPr>
              <w:t xml:space="preserve">Data Element / Data Set</w:t>
            </w:r>
          </w:p>
          <w:p>
            <w:hyperlink w:history="true" r:id="Rc0b8dad288f042b8">
              <w:r>
                <w:rPr>
                  <w:rStyle w:val="Hyperlink"/>
                </w:rPr>
                <w:t xml:space="preserve">Person—estimated resident population of Australia, total people N[N(7)]</w:t>
              </w:r>
            </w:hyperlink>
          </w:p>
          <w:p>
            <w:r>
              <w:rPr>
                <w:rStyle w:val="row-content"/>
                <w:b/>
              </w:rPr>
              <w:t xml:space="preserve">Data Source</w:t>
            </w:r>
          </w:p>
          <w:p>
            <w:hyperlink w:history="true" r:id="R31e773bc8f5242ad">
              <w:r>
                <w:rPr>
                  <w:rStyle w:val="Hyperlink"/>
                </w:rPr>
                <w:t xml:space="preserve">ABS Estimated resident population (2016 Census-based)</w:t>
              </w:r>
            </w:hyperlink>
          </w:p>
          <w:p>
            <w:r>
              <w:rPr>
                <w:rStyle w:val="row-content"/>
                <w:b/>
              </w:rPr>
              <w:t xml:space="preserve">Guide for use</w:t>
            </w:r>
          </w:p>
          <w:p>
            <w:r>
              <w:rPr>
                <w:rStyle w:val="row-content"/>
              </w:rPr>
              <w:t xml:space="preserve">Data source type: Census-based plus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2009–2011 to 2011–2017—Nationally, by sex</w:t>
            </w:r>
          </w:p>
          <w:p>
            <w:pPr>
              <w:spacing w:after="160"/>
            </w:pPr>
            <w:r>
              <w:rPr>
                <w:rStyle w:val="row-content-rich-text"/>
              </w:rPr>
              <w:t xml:space="preserve">2009–2011 to 2011–2017—State and territory, by sex</w:t>
            </w:r>
          </w:p>
          <w:p>
            <w:pPr>
              <w:spacing w:after="160"/>
            </w:pPr>
            <w:r>
              <w:rPr>
                <w:rStyle w:val="row-content-rich-text"/>
              </w:rPr>
              <w:t xml:space="preserve">2009–2011 to 2011–2017—Primary Health Network (PHN), by sex</w:t>
            </w:r>
          </w:p>
          <w:p>
            <w:pPr>
              <w:spacing w:after="160"/>
            </w:pPr>
            <w:r>
              <w:rPr>
                <w:rStyle w:val="row-content-rich-text"/>
              </w:rPr>
              <w:t xml:space="preserve">2009–2011 to 2011–2017—Statistical Local Area (SA3), by sex (not reported)</w:t>
            </w:r>
          </w:p>
          <w:p>
            <w:pPr/>
            <w:r>
              <w:rPr>
                <w:rStyle w:val="row-content-rich-text"/>
              </w:rPr>
              <w:t xml:space="preserve">Some disaggregations may result in numbers too small for publication.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Person—sex</w:t>
            </w:r>
          </w:p>
          <w:p>
            <w:r>
              <w:rPr>
                <w:rStyle w:val="row-content"/>
                <w:b/>
              </w:rPr>
              <w:t xml:space="preserve">Data Source</w:t>
            </w:r>
          </w:p>
          <w:p>
            <w:hyperlink w:history="true" r:id="R50b80b7fab0544a3">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r>
              <w:rPr>
                <w:rStyle w:val="row-content"/>
              </w:rPr>
              <w:t xml:space="preserve">Person—underlying cause of death, code (ICD-10) ANN{.N}</w:t>
            </w:r>
          </w:p>
          <w:p>
            <w:r>
              <w:rPr>
                <w:rStyle w:val="row-content"/>
                <w:b/>
              </w:rPr>
              <w:t xml:space="preserve">Data Source</w:t>
            </w:r>
          </w:p>
          <w:p>
            <w:hyperlink w:history="true" r:id="R05ac127d596647e1">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16cea7a709834a9d">
              <w:r>
                <w:rPr>
                  <w:rStyle w:val="Hyperlink"/>
                </w:rPr>
                <w:t xml:space="preserve">Person—area of usual residence, statistical area level 2 (SA2) code (ASGS 2016) N(9)</w:t>
              </w:r>
            </w:hyperlink>
          </w:p>
          <w:p>
            <w:r>
              <w:rPr>
                <w:rStyle w:val="row-content"/>
                <w:b/>
              </w:rPr>
              <w:t xml:space="preserve">Data Source</w:t>
            </w:r>
          </w:p>
          <w:p>
            <w:hyperlink w:history="true" r:id="Radf349a33129488a">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for disaggregation by state/territory, PHN and SA3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Most recent data available for 2019 Australian Health Performance Framework reporting: Aggregated data 2015–2017.</w:t>
            </w:r>
          </w:p>
          <w:p>
            <w:pPr>
              <w:spacing w:after="160"/>
            </w:pPr>
            <w:r>
              <w:rPr>
                <w:rStyle w:val="row-content-rich-text"/>
              </w:rPr>
              <w:t xml:space="preserve">A number of updates to the ICD-10 were applied to 2013 and subsequent years causes of death data. Details of the impact of these changes on the mortality data are described in </w:t>
            </w:r>
            <w:hyperlink w:history="true" r:id="Rc6df8b1ec4f64064">
              <w:r>
                <w:rPr>
                  <w:rStyle w:val="Hyperlink"/>
                </w:rPr>
                <w:t xml:space="preserve">ABS Implementation of Iris Software: Understanding Coding and Process Improvements</w:t>
              </w:r>
            </w:hyperlink>
            <w:r>
              <w:rPr>
                <w:rStyle w:val="row-content-rich-text"/>
              </w:rPr>
              <w:t xml:space="preserve">.</w:t>
            </w:r>
          </w:p>
          <w:p>
            <w:pPr>
              <w:spacing w:after="160"/>
            </w:pPr>
            <w:r>
              <w:rPr>
                <w:rStyle w:val="row-content-rich-text"/>
              </w:rPr>
              <w:t xml:space="preserve">2013 data are coded using ICD-10 (2013 version). 2014, 2015, 2016 and 2017 data are coded using ICD-10 (2015 version).</w:t>
            </w:r>
          </w:p>
          <w:p>
            <w:pPr>
              <w:spacing w:after="160"/>
            </w:pPr>
            <w:r>
              <w:rPr>
                <w:rStyle w:val="row-content-rich-text"/>
              </w:rPr>
              <w:t xml:space="preserve">Three year combined data are reported for national and sub-national disaggregations.</w:t>
            </w:r>
          </w:p>
          <w:p>
            <w:pPr>
              <w:spacing w:after="160"/>
            </w:pPr>
            <w:r>
              <w:rPr>
                <w:rStyle w:val="row-content-rich-text"/>
              </w:rPr>
              <w:t xml:space="preserve">Due to small number of Indigenous deaths reported each year, 5-year combined data will be reported for state and territory disaggregations.</w:t>
            </w:r>
          </w:p>
          <w:p>
            <w:pPr>
              <w:spacing w:after="160"/>
            </w:pPr>
            <w:r>
              <w:rPr>
                <w:rStyle w:val="row-content-rich-text"/>
              </w:rPr>
              <w:t xml:space="preserve">Estimated Residential Population (ERP) for total population is sourced from ABS ERP at 30 June.</w:t>
            </w:r>
          </w:p>
          <w:p>
            <w:pPr/>
            <w:r>
              <w:rPr>
                <w:rStyle w:val="row-content-rich-text"/>
              </w:rPr>
              <w:t xml:space="preserve">Data by remoteness may be available, pending assessment of data quality.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6911944d88b5479a">
              <w:r>
                <w:rPr>
                  <w:rStyle w:val="Hyperlink"/>
                </w:rPr>
                <w:t xml:space="preserve">1. Effectiveness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d7de3088d0344428">
              <w:r>
                <w:rPr>
                  <w:rStyle w:val="Hyperlink"/>
                </w:rPr>
                <w:t xml:space="preserve">ABS Estimated resident population (2016 Census-based)</w:t>
              </w:r>
            </w:hyperlink>
          </w:p>
          <w:p>
            <w:r>
              <w:rPr>
                <w:rStyle w:val="row-content"/>
                <w:b/>
              </w:rPr>
              <w:t xml:space="preserve">Frequency</w:t>
            </w:r>
          </w:p>
          <w:p>
            <w:r>
              <w:rPr>
                <w:rStyle w:val="row-content"/>
              </w:rPr>
              <w:t xml:space="preserve">Quarterly</w:t>
            </w:r>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6456105f104d4b04">
              <w:r>
                <w:rPr>
                  <w:rStyle w:val="Hyperlink"/>
                </w:rPr>
                <w:t xml:space="preserve">National Mortality Database</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ABS (Australian Bureau of Statistics) 2018. Causes of Death, Australia, 2017. ABS cat.no. 3303.0. Canberra: ABS. Viewed 3 October 2019, </w:t>
            </w:r>
            <w:hyperlink w:history="true" r:id="Rf7f5c99ef8584948">
              <w:r>
                <w:rPr>
                  <w:rStyle w:val="Hyperlink"/>
                </w:rPr>
                <w:t xml:space="preserve">https://www.abs.gov.au/AUSSTATS/abs@.nsf/</w:t>
              </w:r>
              <w:r>
                <w:br/>
              </w:r>
              <w:r>
                <w:rPr>
                  <w:rStyle w:val="row-content-rich-text"/>
                </w:rPr>
                <w:t xml:space="preserve">allprimarymainfeatures/D5FFC33C35BDEB78CA25847F0013A20C?opendocument</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ce440b91d7e49d5">
              <w:r>
                <w:rPr>
                  <w:rStyle w:val="Hyperlink"/>
                </w:rPr>
                <w:t xml:space="preserve">Australian Health Performance Framework: PI 2.1.6–Potentially avoidable deaths, 2020</w:t>
              </w:r>
            </w:hyperlink>
          </w:p>
          <w:p>
            <w:pPr>
              <w:pStyle w:val="registration-status"/>
              <w:spacing w:before="0" w:after="0"/>
            </w:pPr>
            <w:hyperlink w:history="true" r:id="Rb728fe686b654cc6">
              <w:r>
                <w:rPr>
                  <w:rStyle w:val="Hyperlink"/>
                  <w:color w:val="244061"/>
                </w:rPr>
                <w:t xml:space="preserve">Health</w:t>
              </w:r>
            </w:hyperlink>
            <w:r>
              <w:rPr>
                <w:rStyle w:val="row-content"/>
                <w:color w:val="244061"/>
              </w:rPr>
              <w:t xml:space="preserve">, Superseded 31/03/2023</w:t>
            </w:r>
          </w:p>
          <w:p>
            <w:r>
              <w:br/>
            </w:r>
            <w:r>
              <w:rPr>
                <w:rStyle w:val="row-content"/>
              </w:rPr>
              <w:t xml:space="preserve">See also </w:t>
            </w:r>
            <w:hyperlink w:history="true" r:id="Rce8c8ef082b9427a">
              <w:r>
                <w:rPr>
                  <w:rStyle w:val="Hyperlink"/>
                </w:rPr>
                <w:t xml:space="preserve">Australian Health Performance Framework: PI 1.2.1–Rates of current daily smokers, 2019</w:t>
              </w:r>
            </w:hyperlink>
          </w:p>
          <w:p>
            <w:pPr>
              <w:pStyle w:val="registration-status"/>
              <w:spacing w:before="0" w:after="0"/>
            </w:pPr>
            <w:hyperlink w:history="true" r:id="R30fd3367fe10434f">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943a4cb6c4004053">
              <w:r>
                <w:rPr>
                  <w:rStyle w:val="Hyperlink"/>
                </w:rPr>
                <w:t xml:space="preserve">Australian Health Performance Framework: PI 1.2.1–Rates of current daily smokers, 2020</w:t>
              </w:r>
            </w:hyperlink>
          </w:p>
          <w:p>
            <w:pPr>
              <w:pStyle w:val="registration-status"/>
              <w:spacing w:before="0" w:after="0"/>
            </w:pPr>
            <w:hyperlink w:history="true" r:id="R0588bab53af94bbb">
              <w:r>
                <w:rPr>
                  <w:rStyle w:val="Hyperlink"/>
                  <w:color w:val="244061"/>
                </w:rPr>
                <w:t xml:space="preserve">Health</w:t>
              </w:r>
            </w:hyperlink>
            <w:r>
              <w:rPr>
                <w:rStyle w:val="row-content"/>
                <w:color w:val="244061"/>
              </w:rPr>
              <w:t xml:space="preserve">, Standard 13/10/2021</w:t>
            </w:r>
          </w:p>
          <w:p>
            <w:r>
              <w:br/>
            </w:r>
            <w:r>
              <w:rPr>
                <w:rStyle w:val="row-content"/>
              </w:rPr>
              <w:t xml:space="preserve">See also </w:t>
            </w:r>
            <w:hyperlink w:history="true" r:id="R899f88cef9b749a1">
              <w:r>
                <w:rPr>
                  <w:rStyle w:val="Hyperlink"/>
                </w:rPr>
                <w:t xml:space="preserve">Australian Health Performance Framework: PI 1.2.3–Levels of risky alcohol consumption, 2019</w:t>
              </w:r>
            </w:hyperlink>
          </w:p>
          <w:p>
            <w:pPr>
              <w:pStyle w:val="registration-status"/>
              <w:spacing w:before="0" w:after="0"/>
            </w:pPr>
            <w:hyperlink w:history="true" r:id="Rc0a2b66776634a91">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fa9fbe86a4b74afe">
              <w:r>
                <w:rPr>
                  <w:rStyle w:val="Hyperlink"/>
                </w:rPr>
                <w:t xml:space="preserve">Australian Health Performance Framework: PI 1.3.1–Prevalence of overweight and obesity, 2019</w:t>
              </w:r>
            </w:hyperlink>
          </w:p>
          <w:p>
            <w:pPr>
              <w:pStyle w:val="registration-status"/>
              <w:spacing w:before="0" w:after="0"/>
            </w:pPr>
            <w:hyperlink w:history="true" r:id="Rf30addb8adf042d1">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5f24bdd092704dde">
              <w:r>
                <w:rPr>
                  <w:rStyle w:val="Hyperlink"/>
                </w:rPr>
                <w:t xml:space="preserve">Australian Health Performance Framework: PI 2.1.4–Selected potentially preventable hospitalisations, 2019</w:t>
              </w:r>
            </w:hyperlink>
          </w:p>
          <w:p>
            <w:pPr>
              <w:pStyle w:val="registration-status"/>
              <w:spacing w:before="0" w:after="0"/>
            </w:pPr>
            <w:hyperlink w:history="true" r:id="R743907011bf64446">
              <w:r>
                <w:rPr>
                  <w:rStyle w:val="Hyperlink"/>
                  <w:color w:val="244061"/>
                </w:rPr>
                <w:t xml:space="preserve">Health</w:t>
              </w:r>
            </w:hyperlink>
            <w:r>
              <w:rPr>
                <w:rStyle w:val="row-content"/>
                <w:color w:val="244061"/>
              </w:rPr>
              <w:t xml:space="preserve">, Superseded 01/12/2020</w:t>
            </w:r>
          </w:p>
          <w:p>
            <w:r>
              <w:br/>
            </w:r>
            <w:r>
              <w:rPr>
                <w:rStyle w:val="row-content"/>
              </w:rPr>
              <w:t xml:space="preserve">See also </w:t>
            </w:r>
            <w:hyperlink w:history="true" r:id="R707a72f918234171">
              <w:r>
                <w:rPr>
                  <w:rStyle w:val="Hyperlink"/>
                </w:rPr>
                <w:t xml:space="preserve">Australian Health Performance Framework: PI 2.4.1–Unplanned hospital readmission rates, 2019</w:t>
              </w:r>
            </w:hyperlink>
          </w:p>
          <w:p>
            <w:pPr>
              <w:pStyle w:val="registration-status"/>
              <w:spacing w:before="0" w:after="0"/>
            </w:pPr>
            <w:hyperlink w:history="true" r:id="Re5e43a5698ec4a78">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fb5b7b4153f04b6d">
              <w:r>
                <w:rPr>
                  <w:rStyle w:val="Hyperlink"/>
                </w:rPr>
                <w:t xml:space="preserve">Australian Health Performance Framework: PI 3.4.1–Infant and young child mortality rate, 2019</w:t>
              </w:r>
            </w:hyperlink>
          </w:p>
          <w:p>
            <w:pPr>
              <w:pStyle w:val="registration-status"/>
              <w:spacing w:before="0" w:after="0"/>
            </w:pPr>
            <w:hyperlink w:history="true" r:id="Rfd9cac4112aa4c51">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f635681a231f459d">
              <w:r>
                <w:rPr>
                  <w:rStyle w:val="Hyperlink"/>
                </w:rPr>
                <w:t xml:space="preserve">Australian Health Performance Framework: PI 3.4.2–Life expectancy, 2019</w:t>
              </w:r>
            </w:hyperlink>
          </w:p>
          <w:p>
            <w:pPr>
              <w:pStyle w:val="registration-status"/>
              <w:spacing w:before="0" w:after="0"/>
            </w:pPr>
            <w:hyperlink w:history="true" r:id="R2d486cd2187140dd">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07fd79df4b6a4c8d">
              <w:r>
                <w:rPr>
                  <w:rStyle w:val="Hyperlink"/>
                </w:rPr>
                <w:t xml:space="preserve">Australian Health Performance Framework: PI 3.4.3–Major causes of death, 2019</w:t>
              </w:r>
            </w:hyperlink>
          </w:p>
          <w:p>
            <w:pPr>
              <w:pStyle w:val="registration-status"/>
              <w:spacing w:before="0" w:after="0"/>
            </w:pPr>
            <w:hyperlink w:history="true" r:id="R09c37971164f47e1">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e40bd74ffb224b48">
              <w:r>
                <w:rPr>
                  <w:rStyle w:val="Hyperlink"/>
                </w:rPr>
                <w:t xml:space="preserve">National Healthcare Agreement: PI 03–Prevalence of overweight and obesity, 2020</w:t>
              </w:r>
            </w:hyperlink>
          </w:p>
          <w:p>
            <w:pPr>
              <w:pStyle w:val="registration-status"/>
              <w:spacing w:before="0" w:after="0"/>
            </w:pPr>
            <w:hyperlink w:history="true" r:id="R3d7f5cf74ec2409e">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49edc25aa9884a0b">
              <w:r>
                <w:rPr>
                  <w:rStyle w:val="Hyperlink"/>
                </w:rPr>
                <w:t xml:space="preserve">National Healthcare Agreement: PI 03–Prevalence of overweight and obesity, 2021</w:t>
              </w:r>
            </w:hyperlink>
          </w:p>
          <w:p>
            <w:pPr>
              <w:pStyle w:val="registration-status"/>
              <w:spacing w:before="0" w:after="0"/>
            </w:pPr>
            <w:hyperlink w:history="true" r:id="R25fda9317ac34901">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7a35952cc54648f8">
              <w:r>
                <w:rPr>
                  <w:rStyle w:val="Hyperlink"/>
                </w:rPr>
                <w:t xml:space="preserve">National Healthcare Agreement: PI 04–Rates of current daily smokers, 2020</w:t>
              </w:r>
            </w:hyperlink>
          </w:p>
          <w:p>
            <w:pPr>
              <w:pStyle w:val="registration-status"/>
              <w:spacing w:before="0" w:after="0"/>
            </w:pPr>
            <w:hyperlink w:history="true" r:id="Rbb172db6c4a14de7">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1697362515a2446f">
              <w:r>
                <w:rPr>
                  <w:rStyle w:val="Hyperlink"/>
                </w:rPr>
                <w:t xml:space="preserve">National Healthcare Agreement: PI 04–Rates of current daily smokers, 2021</w:t>
              </w:r>
            </w:hyperlink>
          </w:p>
          <w:p>
            <w:pPr>
              <w:pStyle w:val="registration-status"/>
              <w:spacing w:before="0" w:after="0"/>
            </w:pPr>
            <w:hyperlink w:history="true" r:id="Rd03af79d8fcf45ff">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7415133dfc2a4fed">
              <w:r>
                <w:rPr>
                  <w:rStyle w:val="Hyperlink"/>
                </w:rPr>
                <w:t xml:space="preserve">National Healthcare Agreement: PI 05–Levels of risky alcohol consumption, 2020</w:t>
              </w:r>
            </w:hyperlink>
          </w:p>
          <w:p>
            <w:pPr>
              <w:pStyle w:val="registration-status"/>
              <w:spacing w:before="0" w:after="0"/>
            </w:pPr>
            <w:hyperlink w:history="true" r:id="R2b5ba52ca5f04bf3">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79938949725449d1">
              <w:r>
                <w:rPr>
                  <w:rStyle w:val="Hyperlink"/>
                </w:rPr>
                <w:t xml:space="preserve">National Healthcare Agreement: PI 05–Levels of risky alcohol consumption, 2021</w:t>
              </w:r>
            </w:hyperlink>
          </w:p>
          <w:p>
            <w:pPr>
              <w:pStyle w:val="registration-status"/>
              <w:spacing w:before="0" w:after="0"/>
            </w:pPr>
            <w:hyperlink w:history="true" r:id="R2ca0115c2c394121">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99a16ed8547141d7">
              <w:r>
                <w:rPr>
                  <w:rStyle w:val="Hyperlink"/>
                </w:rPr>
                <w:t xml:space="preserve">National Healthcare Agreement: PI 06–Life expectancy, 2020</w:t>
              </w:r>
            </w:hyperlink>
          </w:p>
          <w:p>
            <w:pPr>
              <w:pStyle w:val="registration-status"/>
              <w:spacing w:before="0" w:after="0"/>
            </w:pPr>
            <w:hyperlink w:history="true" r:id="R775e68d2c74f4896">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7f8d234d1a2c4edb">
              <w:r>
                <w:rPr>
                  <w:rStyle w:val="Hyperlink"/>
                </w:rPr>
                <w:t xml:space="preserve">National Healthcare Agreement: PI 06–Life expectancy, 2021</w:t>
              </w:r>
            </w:hyperlink>
          </w:p>
          <w:p>
            <w:pPr>
              <w:pStyle w:val="registration-status"/>
              <w:spacing w:before="0" w:after="0"/>
            </w:pPr>
            <w:hyperlink w:history="true" r:id="Refe383116a5446f3">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b315474a6823436f">
              <w:r>
                <w:rPr>
                  <w:rStyle w:val="Hyperlink"/>
                </w:rPr>
                <w:t xml:space="preserve">National Healthcare Agreement: PI 07–Infant and young child mortality rate, 2020</w:t>
              </w:r>
            </w:hyperlink>
          </w:p>
          <w:p>
            <w:pPr>
              <w:pStyle w:val="registration-status"/>
              <w:spacing w:before="0" w:after="0"/>
            </w:pPr>
            <w:hyperlink w:history="true" r:id="R0f0f4e70173c4131">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9b4005bce1f44003">
              <w:r>
                <w:rPr>
                  <w:rStyle w:val="Hyperlink"/>
                </w:rPr>
                <w:t xml:space="preserve">National Healthcare Agreement: PI 07–Infant and young child mortality rate, 2021</w:t>
              </w:r>
            </w:hyperlink>
          </w:p>
          <w:p>
            <w:pPr>
              <w:pStyle w:val="registration-status"/>
              <w:spacing w:before="0" w:after="0"/>
            </w:pPr>
            <w:hyperlink w:history="true" r:id="R106a2638915f4ff7">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48183623df3542e2">
              <w:r>
                <w:rPr>
                  <w:rStyle w:val="Hyperlink"/>
                </w:rPr>
                <w:t xml:space="preserve">National Healthcare Agreement: PI 08–Major causes of death, 2020</w:t>
              </w:r>
            </w:hyperlink>
          </w:p>
          <w:p>
            <w:pPr>
              <w:pStyle w:val="registration-status"/>
              <w:spacing w:before="0" w:after="0"/>
            </w:pPr>
            <w:hyperlink w:history="true" r:id="R0d577f5e2b4e4aba">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43571b0c9d5e4efb">
              <w:r>
                <w:rPr>
                  <w:rStyle w:val="Hyperlink"/>
                </w:rPr>
                <w:t xml:space="preserve">National Healthcare Agreement: PI 08–Major causes of death, 2021</w:t>
              </w:r>
            </w:hyperlink>
          </w:p>
          <w:p>
            <w:pPr>
              <w:pStyle w:val="registration-status"/>
              <w:spacing w:before="0" w:after="0"/>
            </w:pPr>
            <w:hyperlink w:history="true" r:id="R1e25256caa514d41">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4f6e9bf22bdd42e3">
              <w:r>
                <w:rPr>
                  <w:rStyle w:val="Hyperlink"/>
                </w:rPr>
                <w:t xml:space="preserve">National Healthcare Agreement: PI 16–Potentially avoidable deaths, 2020</w:t>
              </w:r>
            </w:hyperlink>
          </w:p>
          <w:p>
            <w:pPr>
              <w:pStyle w:val="registration-status"/>
              <w:spacing w:before="0" w:after="0"/>
            </w:pPr>
            <w:hyperlink w:history="true" r:id="Re316881e26de4e3a">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eb28eb57ac164180">
              <w:r>
                <w:rPr>
                  <w:rStyle w:val="Hyperlink"/>
                </w:rPr>
                <w:t xml:space="preserve">National Healthcare Agreement: PI 16–Potentially avoidable deaths, 2021</w:t>
              </w:r>
            </w:hyperlink>
          </w:p>
          <w:p>
            <w:pPr>
              <w:pStyle w:val="registration-status"/>
              <w:spacing w:before="0" w:after="0"/>
            </w:pPr>
            <w:hyperlink w:history="true" r:id="R14db9480d1794cf6">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e42661dd01a643de">
              <w:r>
                <w:rPr>
                  <w:rStyle w:val="Hyperlink"/>
                </w:rPr>
                <w:t xml:space="preserve">National Healthcare Agreement: PI 18–Selected potentially preventable hospitalisations, 2020</w:t>
              </w:r>
            </w:hyperlink>
          </w:p>
          <w:p>
            <w:pPr>
              <w:pStyle w:val="registration-status"/>
              <w:spacing w:before="0" w:after="0"/>
            </w:pPr>
            <w:hyperlink w:history="true" r:id="R8865272be32d4f08">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592e6438a2d84e54">
              <w:r>
                <w:rPr>
                  <w:rStyle w:val="Hyperlink"/>
                </w:rPr>
                <w:t xml:space="preserve">National Healthcare Agreement: PI 18–Selected potentially preventable hospitalisations, 2021</w:t>
              </w:r>
            </w:hyperlink>
          </w:p>
          <w:p>
            <w:pPr>
              <w:pStyle w:val="registration-status"/>
              <w:spacing w:before="0" w:after="0"/>
            </w:pPr>
            <w:hyperlink w:history="true" r:id="Refa95e6c0f314293">
              <w:r>
                <w:rPr>
                  <w:rStyle w:val="Hyperlink"/>
                  <w:color w:val="244061"/>
                </w:rPr>
                <w:t xml:space="preserve">Health</w:t>
              </w:r>
            </w:hyperlink>
            <w:r>
              <w:rPr>
                <w:rStyle w:val="row-content"/>
                <w:color w:val="244061"/>
              </w:rPr>
              <w:t xml:space="preserve">, Standard 16/09/2020</w:t>
            </w:r>
          </w:p>
          <w:p>
            <w:r>
              <w:br/>
            </w:r>
            <w:r>
              <w:rPr>
                <w:rStyle w:val="row-content"/>
              </w:rPr>
              <w:t xml:space="preserve">See also </w:t>
            </w:r>
            <w:hyperlink w:history="true" r:id="Rbbeee354e5d545b6">
              <w:r>
                <w:rPr>
                  <w:rStyle w:val="Hyperlink"/>
                </w:rPr>
                <w:t xml:space="preserve">National Healthcare Agreement: PI 23–Unplanned hospital readmission rates, 2020</w:t>
              </w:r>
            </w:hyperlink>
          </w:p>
          <w:p>
            <w:pPr>
              <w:pStyle w:val="registration-status"/>
              <w:spacing w:before="0" w:after="0"/>
            </w:pPr>
            <w:hyperlink w:history="true" r:id="Rff8cf56621634948">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1d610b6a335c43fe">
              <w:r>
                <w:rPr>
                  <w:rStyle w:val="Hyperlink"/>
                </w:rPr>
                <w:t xml:space="preserve">National Healthcare Agreement: PI 23–Unplanned hospital readmission rates, 2021</w:t>
              </w:r>
            </w:hyperlink>
          </w:p>
          <w:p>
            <w:pPr>
              <w:pStyle w:val="registration-status"/>
              <w:spacing w:before="0" w:after="0"/>
            </w:pPr>
            <w:hyperlink w:history="true" r:id="R96fbc00241fb40e2">
              <w:r>
                <w:rPr>
                  <w:rStyle w:val="Hyperlink"/>
                  <w:color w:val="244061"/>
                </w:rPr>
                <w:t xml:space="preserve">Health</w:t>
              </w:r>
            </w:hyperlink>
            <w:r>
              <w:rPr>
                <w:rStyle w:val="row-content"/>
                <w:color w:val="244061"/>
              </w:rPr>
              <w:t xml:space="preserve">, Standard 19/11/2020</w:t>
            </w:r>
          </w:p>
          <w:p>
            <w:r>
              <w:br/>
            </w:r>
          </w:p>
        </w:tc>
      </w:tr>
    </w:tbl>
    <w:p>
      <w:r>
        <w:br/>
      </w:r>
    </w:p>
    <w:sectPr>
      <w:footerReference xmlns:r="http://schemas.openxmlformats.org/officeDocument/2006/relationships" w:type="default" r:id="Rbc3cd6e824f5458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715192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58c7fead7a5403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c3cd6e824f5458f" /><Relationship Type="http://schemas.openxmlformats.org/officeDocument/2006/relationships/header" Target="/word/header1.xml" Id="Rbd33c8139ef44f16" /><Relationship Type="http://schemas.openxmlformats.org/officeDocument/2006/relationships/settings" Target="/word/settings.xml" Id="R623eb922727e467d" /><Relationship Type="http://schemas.openxmlformats.org/officeDocument/2006/relationships/styles" Target="/word/styles.xml" Id="R5aeab36946754e7d" /><Relationship Type="http://schemas.openxmlformats.org/officeDocument/2006/relationships/hyperlink" Target="https://meteor.aihw.gov.au/RegistrationAuthority/12" TargetMode="External" Id="Rae667d7f73c846aa" /><Relationship Type="http://schemas.openxmlformats.org/officeDocument/2006/relationships/hyperlink" Target="https://meteor.aihw.gov.au/content/715015" TargetMode="External" Id="Ra77baf2363f14903" /><Relationship Type="http://schemas.openxmlformats.org/officeDocument/2006/relationships/hyperlink" Target="https://meteor.aihw.gov.au/RegistrationAuthority/12" TargetMode="External" Id="R3284196b191e4312" /><Relationship Type="http://schemas.openxmlformats.org/officeDocument/2006/relationships/hyperlink" Target="https://meteor.aihw.gov.au/content/715015" TargetMode="External" Id="R0913efc3284147de" /><Relationship Type="http://schemas.openxmlformats.org/officeDocument/2006/relationships/hyperlink" Target="https://meteor.aihw.gov.au/RegistrationAuthority/12" TargetMode="External" Id="Rc1db290e3b954fd6" /><Relationship Type="http://schemas.openxmlformats.org/officeDocument/2006/relationships/hyperlink" Target="https://meteor.aihw.gov.au/content/395084" TargetMode="External" Id="Rd7e0a225302d44c2" /><Relationship Type="http://schemas.openxmlformats.org/officeDocument/2006/relationships/hyperlink" Target="https://meteor.aihw.gov.au/content/395084" TargetMode="External" Id="R652fa02940464db0" /><Relationship Type="http://schemas.openxmlformats.org/officeDocument/2006/relationships/hyperlink" Target="https://meteor.aihw.gov.au/content/303794" TargetMode="External" Id="Rf3076c72e43d40c8" /><Relationship Type="http://schemas.openxmlformats.org/officeDocument/2006/relationships/hyperlink" Target="https://meteor.aihw.gov.au/content/704699" TargetMode="External" Id="R5d84f1ba49834ef5" /><Relationship Type="http://schemas.openxmlformats.org/officeDocument/2006/relationships/hyperlink" Target="https://meteor.aihw.gov.au/content/388656" TargetMode="External" Id="Rc0b8dad288f042b8" /><Relationship Type="http://schemas.openxmlformats.org/officeDocument/2006/relationships/hyperlink" Target="https://meteor.aihw.gov.au/content/704699" TargetMode="External" Id="R31e773bc8f5242ad" /><Relationship Type="http://schemas.openxmlformats.org/officeDocument/2006/relationships/hyperlink" Target="https://meteor.aihw.gov.au/content/395084" TargetMode="External" Id="R50b80b7fab0544a3" /><Relationship Type="http://schemas.openxmlformats.org/officeDocument/2006/relationships/hyperlink" Target="https://meteor.aihw.gov.au/content/395084" TargetMode="External" Id="R05ac127d596647e1" /><Relationship Type="http://schemas.openxmlformats.org/officeDocument/2006/relationships/hyperlink" Target="https://meteor.aihw.gov.au/content/659725" TargetMode="External" Id="R16cea7a709834a9d" /><Relationship Type="http://schemas.openxmlformats.org/officeDocument/2006/relationships/hyperlink" Target="https://meteor.aihw.gov.au/content/395084" TargetMode="External" Id="Radf349a33129488a" /><Relationship Type="http://schemas.openxmlformats.org/officeDocument/2006/relationships/hyperlink" Target="http://www.abs.gov.au/ausstats/abs@.nsf/Lookup/3303.0Technical+Note12013" TargetMode="External" Id="Rc6df8b1ec4f64064" /><Relationship Type="http://schemas.openxmlformats.org/officeDocument/2006/relationships/hyperlink" Target="https://meteor.aihw.gov.au/content/721641" TargetMode="External" Id="R6911944d88b5479a" /><Relationship Type="http://schemas.openxmlformats.org/officeDocument/2006/relationships/hyperlink" Target="https://meteor.aihw.gov.au/content/704699" TargetMode="External" Id="Rd7de3088d0344428" /><Relationship Type="http://schemas.openxmlformats.org/officeDocument/2006/relationships/hyperlink" Target="https://meteor.aihw.gov.au/content/395084" TargetMode="External" Id="R6456105f104d4b04" /><Relationship Type="http://schemas.openxmlformats.org/officeDocument/2006/relationships/hyperlink" Target="https://www.abs.gov.au/AUSSTATS/abs@.nsf/allprimarymainfeatures/D5FFC33C35BDEB78CA25847F0013A20C?opendocument" TargetMode="External" Id="Rf7f5c99ef8584948" /><Relationship Type="http://schemas.openxmlformats.org/officeDocument/2006/relationships/hyperlink" Target="https://meteor.aihw.gov.au/content/728337" TargetMode="External" Id="Rfce440b91d7e49d5" /><Relationship Type="http://schemas.openxmlformats.org/officeDocument/2006/relationships/hyperlink" Target="https://meteor.aihw.gov.au/RegistrationAuthority/12" TargetMode="External" Id="Rb728fe686b654cc6" /><Relationship Type="http://schemas.openxmlformats.org/officeDocument/2006/relationships/hyperlink" Target="https://meteor.aihw.gov.au/content/715271" TargetMode="External" Id="Rce8c8ef082b9427a" /><Relationship Type="http://schemas.openxmlformats.org/officeDocument/2006/relationships/hyperlink" Target="https://meteor.aihw.gov.au/RegistrationAuthority/12" TargetMode="External" Id="R30fd3367fe10434f" /><Relationship Type="http://schemas.openxmlformats.org/officeDocument/2006/relationships/hyperlink" Target="https://meteor.aihw.gov.au/content/728290" TargetMode="External" Id="R943a4cb6c4004053" /><Relationship Type="http://schemas.openxmlformats.org/officeDocument/2006/relationships/hyperlink" Target="https://meteor.aihw.gov.au/RegistrationAuthority/12" TargetMode="External" Id="R0588bab53af94bbb" /><Relationship Type="http://schemas.openxmlformats.org/officeDocument/2006/relationships/hyperlink" Target="https://meteor.aihw.gov.au/content/715275" TargetMode="External" Id="R899f88cef9b749a1" /><Relationship Type="http://schemas.openxmlformats.org/officeDocument/2006/relationships/hyperlink" Target="https://meteor.aihw.gov.au/RegistrationAuthority/12" TargetMode="External" Id="Rc0a2b66776634a91" /><Relationship Type="http://schemas.openxmlformats.org/officeDocument/2006/relationships/hyperlink" Target="https://meteor.aihw.gov.au/content/715278" TargetMode="External" Id="Rfa9fbe86a4b74afe" /><Relationship Type="http://schemas.openxmlformats.org/officeDocument/2006/relationships/hyperlink" Target="https://meteor.aihw.gov.au/RegistrationAuthority/12" TargetMode="External" Id="Rf30addb8adf042d1" /><Relationship Type="http://schemas.openxmlformats.org/officeDocument/2006/relationships/hyperlink" Target="https://meteor.aihw.gov.au/content/715161" TargetMode="External" Id="R5f24bdd092704dde" /><Relationship Type="http://schemas.openxmlformats.org/officeDocument/2006/relationships/hyperlink" Target="https://meteor.aihw.gov.au/RegistrationAuthority/12" TargetMode="External" Id="R743907011bf64446" /><Relationship Type="http://schemas.openxmlformats.org/officeDocument/2006/relationships/hyperlink" Target="https://meteor.aihw.gov.au/content/715368" TargetMode="External" Id="R707a72f918234171" /><Relationship Type="http://schemas.openxmlformats.org/officeDocument/2006/relationships/hyperlink" Target="https://meteor.aihw.gov.au/RegistrationAuthority/12" TargetMode="External" Id="Re5e43a5698ec4a78" /><Relationship Type="http://schemas.openxmlformats.org/officeDocument/2006/relationships/hyperlink" Target="https://meteor.aihw.gov.au/content/715307" TargetMode="External" Id="Rfb5b7b4153f04b6d" /><Relationship Type="http://schemas.openxmlformats.org/officeDocument/2006/relationships/hyperlink" Target="https://meteor.aihw.gov.au/RegistrationAuthority/12" TargetMode="External" Id="Rfd9cac4112aa4c51" /><Relationship Type="http://schemas.openxmlformats.org/officeDocument/2006/relationships/hyperlink" Target="https://meteor.aihw.gov.au/content/715309" TargetMode="External" Id="Rf635681a231f459d" /><Relationship Type="http://schemas.openxmlformats.org/officeDocument/2006/relationships/hyperlink" Target="https://meteor.aihw.gov.au/RegistrationAuthority/12" TargetMode="External" Id="R2d486cd2187140dd" /><Relationship Type="http://schemas.openxmlformats.org/officeDocument/2006/relationships/hyperlink" Target="https://meteor.aihw.gov.au/content/715311" TargetMode="External" Id="R07fd79df4b6a4c8d" /><Relationship Type="http://schemas.openxmlformats.org/officeDocument/2006/relationships/hyperlink" Target="https://meteor.aihw.gov.au/RegistrationAuthority/12" TargetMode="External" Id="R09c37971164f47e1" /><Relationship Type="http://schemas.openxmlformats.org/officeDocument/2006/relationships/hyperlink" Target="https://meteor.aihw.gov.au/content/716275" TargetMode="External" Id="Re40bd74ffb224b48" /><Relationship Type="http://schemas.openxmlformats.org/officeDocument/2006/relationships/hyperlink" Target="https://meteor.aihw.gov.au/RegistrationAuthority/12" TargetMode="External" Id="R3d7f5cf74ec2409e" /><Relationship Type="http://schemas.openxmlformats.org/officeDocument/2006/relationships/hyperlink" Target="https://meteor.aihw.gov.au/content/725824" TargetMode="External" Id="R49edc25aa9884a0b" /><Relationship Type="http://schemas.openxmlformats.org/officeDocument/2006/relationships/hyperlink" Target="https://meteor.aihw.gov.au/RegistrationAuthority/12" TargetMode="External" Id="R25fda9317ac34901" /><Relationship Type="http://schemas.openxmlformats.org/officeDocument/2006/relationships/hyperlink" Target="https://meteor.aihw.gov.au/content/716279" TargetMode="External" Id="R7a35952cc54648f8" /><Relationship Type="http://schemas.openxmlformats.org/officeDocument/2006/relationships/hyperlink" Target="https://meteor.aihw.gov.au/RegistrationAuthority/12" TargetMode="External" Id="Rbb172db6c4a14de7" /><Relationship Type="http://schemas.openxmlformats.org/officeDocument/2006/relationships/hyperlink" Target="https://meteor.aihw.gov.au/content/725822" TargetMode="External" Id="R1697362515a2446f" /><Relationship Type="http://schemas.openxmlformats.org/officeDocument/2006/relationships/hyperlink" Target="https://meteor.aihw.gov.au/RegistrationAuthority/12" TargetMode="External" Id="Rd03af79d8fcf45ff" /><Relationship Type="http://schemas.openxmlformats.org/officeDocument/2006/relationships/hyperlink" Target="https://meteor.aihw.gov.au/content/716290" TargetMode="External" Id="R7415133dfc2a4fed" /><Relationship Type="http://schemas.openxmlformats.org/officeDocument/2006/relationships/hyperlink" Target="https://meteor.aihw.gov.au/RegistrationAuthority/12" TargetMode="External" Id="R2b5ba52ca5f04bf3" /><Relationship Type="http://schemas.openxmlformats.org/officeDocument/2006/relationships/hyperlink" Target="https://meteor.aihw.gov.au/content/725820" TargetMode="External" Id="R79938949725449d1" /><Relationship Type="http://schemas.openxmlformats.org/officeDocument/2006/relationships/hyperlink" Target="https://meteor.aihw.gov.au/RegistrationAuthority/12" TargetMode="External" Id="R2ca0115c2c394121" /><Relationship Type="http://schemas.openxmlformats.org/officeDocument/2006/relationships/hyperlink" Target="https://meteor.aihw.gov.au/content/716297" TargetMode="External" Id="R99a16ed8547141d7" /><Relationship Type="http://schemas.openxmlformats.org/officeDocument/2006/relationships/hyperlink" Target="https://meteor.aihw.gov.au/RegistrationAuthority/12" TargetMode="External" Id="R775e68d2c74f4896" /><Relationship Type="http://schemas.openxmlformats.org/officeDocument/2006/relationships/hyperlink" Target="https://meteor.aihw.gov.au/content/725818" TargetMode="External" Id="R7f8d234d1a2c4edb" /><Relationship Type="http://schemas.openxmlformats.org/officeDocument/2006/relationships/hyperlink" Target="https://meteor.aihw.gov.au/RegistrationAuthority/12" TargetMode="External" Id="Refe383116a5446f3" /><Relationship Type="http://schemas.openxmlformats.org/officeDocument/2006/relationships/hyperlink" Target="https://meteor.aihw.gov.au/content/716308" TargetMode="External" Id="Rb315474a6823436f" /><Relationship Type="http://schemas.openxmlformats.org/officeDocument/2006/relationships/hyperlink" Target="https://meteor.aihw.gov.au/RegistrationAuthority/12" TargetMode="External" Id="R0f0f4e70173c4131" /><Relationship Type="http://schemas.openxmlformats.org/officeDocument/2006/relationships/hyperlink" Target="https://meteor.aihw.gov.au/content/725815" TargetMode="External" Id="R9b4005bce1f44003" /><Relationship Type="http://schemas.openxmlformats.org/officeDocument/2006/relationships/hyperlink" Target="https://meteor.aihw.gov.au/RegistrationAuthority/12" TargetMode="External" Id="R106a2638915f4ff7" /><Relationship Type="http://schemas.openxmlformats.org/officeDocument/2006/relationships/hyperlink" Target="https://meteor.aihw.gov.au/content/716346" TargetMode="External" Id="R48183623df3542e2" /><Relationship Type="http://schemas.openxmlformats.org/officeDocument/2006/relationships/hyperlink" Target="https://meteor.aihw.gov.au/RegistrationAuthority/12" TargetMode="External" Id="R0d577f5e2b4e4aba" /><Relationship Type="http://schemas.openxmlformats.org/officeDocument/2006/relationships/hyperlink" Target="https://meteor.aihw.gov.au/content/725813" TargetMode="External" Id="R43571b0c9d5e4efb" /><Relationship Type="http://schemas.openxmlformats.org/officeDocument/2006/relationships/hyperlink" Target="https://meteor.aihw.gov.au/RegistrationAuthority/12" TargetMode="External" Id="R1e25256caa514d41" /><Relationship Type="http://schemas.openxmlformats.org/officeDocument/2006/relationships/hyperlink" Target="https://meteor.aihw.gov.au/content/716490" TargetMode="External" Id="R4f6e9bf22bdd42e3" /><Relationship Type="http://schemas.openxmlformats.org/officeDocument/2006/relationships/hyperlink" Target="https://meteor.aihw.gov.au/RegistrationAuthority/12" TargetMode="External" Id="Re316881e26de4e3a" /><Relationship Type="http://schemas.openxmlformats.org/officeDocument/2006/relationships/hyperlink" Target="https://meteor.aihw.gov.au/content/725797" TargetMode="External" Id="Reb28eb57ac164180" /><Relationship Type="http://schemas.openxmlformats.org/officeDocument/2006/relationships/hyperlink" Target="https://meteor.aihw.gov.au/RegistrationAuthority/12" TargetMode="External" Id="R14db9480d1794cf6" /><Relationship Type="http://schemas.openxmlformats.org/officeDocument/2006/relationships/hyperlink" Target="https://meteor.aihw.gov.au/content/716530" TargetMode="External" Id="Re42661dd01a643de" /><Relationship Type="http://schemas.openxmlformats.org/officeDocument/2006/relationships/hyperlink" Target="https://meteor.aihw.gov.au/RegistrationAuthority/12" TargetMode="External" Id="R8865272be32d4f08" /><Relationship Type="http://schemas.openxmlformats.org/officeDocument/2006/relationships/hyperlink" Target="https://meteor.aihw.gov.au/content/725793" TargetMode="External" Id="R592e6438a2d84e54" /><Relationship Type="http://schemas.openxmlformats.org/officeDocument/2006/relationships/hyperlink" Target="https://meteor.aihw.gov.au/RegistrationAuthority/12" TargetMode="External" Id="Refa95e6c0f314293" /><Relationship Type="http://schemas.openxmlformats.org/officeDocument/2006/relationships/hyperlink" Target="https://meteor.aihw.gov.au/content/716786" TargetMode="External" Id="Rbbeee354e5d545b6" /><Relationship Type="http://schemas.openxmlformats.org/officeDocument/2006/relationships/hyperlink" Target="https://meteor.aihw.gov.au/RegistrationAuthority/12" TargetMode="External" Id="Rff8cf56621634948" /><Relationship Type="http://schemas.openxmlformats.org/officeDocument/2006/relationships/hyperlink" Target="https://meteor.aihw.gov.au/content/725779" TargetMode="External" Id="R1d610b6a335c43fe" /><Relationship Type="http://schemas.openxmlformats.org/officeDocument/2006/relationships/hyperlink" Target="https://meteor.aihw.gov.au/RegistrationAuthority/12" TargetMode="External" Id="R96fbc00241fb40e2" /></Relationships>
</file>

<file path=word/_rels/header1.xml.rels>&#65279;<?xml version="1.0" encoding="utf-8"?><Relationships xmlns="http://schemas.openxmlformats.org/package/2006/relationships"><Relationship Type="http://schemas.openxmlformats.org/officeDocument/2006/relationships/image" Target="/media/image.png" Id="Ra58c7fead7a54033" /></Relationships>
</file>