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b05f00b768ff40e6" /></Relationships>
</file>

<file path=word/document.xml><?xml version="1.0" encoding="utf-8"?>
<w:document xmlns:r="http://schemas.openxmlformats.org/officeDocument/2006/relationships" xmlns:w="http://schemas.openxmlformats.org/wordprocessingml/2006/main">
  <w:body>
    <w:p>
      <w:pPr>
        <w:pStyle w:val="Title"/>
      </w:pPr>
      <w:r>
        <w:t>Australian Health Performance Framework: PI 2.1.4–Selected potentially preventable hospitalisations, 2019</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Health Performance Framework: PI 2.1.4–Selected potentially preventable hospitalisations, 2019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AHPF PI 2.1.4–Selected potentially preventable hospitalisations, 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Selected potentially preventable hospitalisations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715161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3fe48da6d2645bc">
              <w:r>
                <w:rPr>
                  <w:rStyle w:val="Hyperlink"/>
                  <w:color w:val="244061"/>
                </w:rPr>
                <w:t xml:space="preserve">Health</w:t>
              </w:r>
            </w:hyperlink>
            <w:r>
              <w:rPr>
                <w:rStyle w:val="row-content"/>
                <w:color w:val="244061"/>
              </w:rPr>
              <w:t xml:space="preserve">, Superseded 01/12/2020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Admission to hospital for a condition where the hospitalisation could have potentially been prevented through the provision of appropriate individualised preventative health interventions and early disease management usually delivered in primary care and community-based care settings (including by general practitioners, medical specialists, dentists, nurses and allied health professionals).</w:t>
            </w:r>
          </w:p>
          <w:p>
            <w:pPr>
              <w:spacing w:after="160"/>
            </w:pPr>
            <w:r>
              <w:rPr>
                <w:rStyle w:val="row-content-rich-text"/>
              </w:rPr>
              <w:t xml:space="preserve">For example, hospitalisations for conditions such as measles and tetanus can be prevented by primary health care through vaccination to prevent the conditions from occurring. Hospitalisations for patients presenting with acute pharyngitis can be prevented through timely treatment in primary health care settings using antibiotics, and hospitalisations for diabetes complications can be prevented through appropriate, long-term management of diabetes by primary and community health practitioners.</w:t>
            </w:r>
          </w:p>
          <w:p>
            <w:pPr/>
            <w:r>
              <w:rPr>
                <w:rStyle w:val="row-content-rich-text"/>
              </w:rPr>
              <w:t xml:space="preserve">The above definition excludes conditions that are preventable predominately through population health interventions, such as those for clean air and water.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d6e61f8edc434634">
              <w:r>
                <w:rPr>
                  <w:rStyle w:val="Hyperlink"/>
                </w:rPr>
                <w:t xml:space="preserve">Australian Health Performance Framework, 2019</w:t>
              </w:r>
            </w:hyperlink>
          </w:p>
          <w:p>
            <w:pPr>
              <w:pStyle w:val="registration-status"/>
              <w:spacing w:before="0" w:after="0"/>
            </w:pPr>
            <w:hyperlink w:history="true" r:id="R1a708d7330834853">
              <w:r>
                <w:rPr>
                  <w:rStyle w:val="Hyperlink"/>
                  <w:color w:val="244061"/>
                </w:rPr>
                <w:t xml:space="preserve">Health</w:t>
              </w:r>
            </w:hyperlink>
            <w:r>
              <w:rPr>
                <w:rStyle w:val="row-content"/>
                <w:color w:val="244061"/>
              </w:rPr>
              <w:t xml:space="preserve">, Superseded 13/10/2021</w:t>
            </w:r>
          </w:p>
          <w:p>
            <w:r>
              <w:br/>
            </w:r>
            <w:hyperlink w:history="true" r:id="Rb4154908cc8b40ec">
              <w:r>
                <w:rPr>
                  <w:rStyle w:val="Hyperlink"/>
                </w:rPr>
                <w:t xml:space="preserve">Australian Health Performance Framework, 2019</w:t>
              </w:r>
            </w:hyperlink>
          </w:p>
          <w:p>
            <w:pPr>
              <w:pStyle w:val="registration-status"/>
              <w:spacing w:before="0" w:after="0"/>
            </w:pPr>
            <w:hyperlink w:history="true" r:id="R84b942a9bba349bf">
              <w:r>
                <w:rPr>
                  <w:rStyle w:val="Hyperlink"/>
                  <w:color w:val="244061"/>
                </w:rPr>
                <w:t xml:space="preserve">Health</w:t>
              </w:r>
            </w:hyperlink>
            <w:r>
              <w:rPr>
                <w:rStyle w:val="row-content"/>
                <w:color w:val="244061"/>
              </w:rPr>
              <w:t xml:space="preserve">, Superseded 13/10/2021</w:t>
            </w:r>
          </w:p>
          <w:p>
            <w:r>
              <w:br/>
            </w:r>
          </w:p>
        </w:tc>
      </w:tr>
    </w:tbl>
    <w:p>
      <w:pPr>
        <w:pStyle w:val="Caption"/>
      </w:pPr>
      <w:r>
        <w:fldChar w:fldCharType="begin"/>
      </w:r>
      <w:r>
        <w:instrText xml:space="preserve"> SEQ TABLE \* ARABIC </w:instrText>
      </w:r>
      <w:r>
        <w:fldChar w:fldCharType="end"/>
      </w:r>
      <w:r>
        <w:rPr>
          <w:rStyle w:val="row-content-rich-text"/>
          <w:b/>
        </w:rPr>
        <w:t xml:space="preserve">Table 1: ICD-10-AM, 10th edition codes used for identifying potentially avoidable hospitalisations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Note that the codes below are from ICD-10-AM 10th edition.</w:t>
            </w:r>
          </w:p>
          <w:tbl>
            <w:tblPr>
              <w:tblStyle w:val="TableGrid"/>
              <w:tblW w:w="5000" w:type="pct"/>
              <w:tblLayout w:type="autofit"/>
            </w:tblPr>
            <w:tblGrid>
              <w:gridCol/>
              <w:gridCol/>
              <w:gridCol/>
              <w:gridCol/>
            </w:tblGrid>
            <w:tr>
              <w:trPr/>
              <w:tc>
                <w:tcPr>
                  <w:tcW w:w="250" w:type="pct"/>
                  <w:vAlign w:val="top"/>
                </w:tcPr>
                <w:p>
                  <w:pPr/>
                  <w:r>
                    <w:rPr>
                      <w:rStyle w:val="row-content-rich-text"/>
                    </w:rPr>
                    <w:t xml:space="preserve"> </w:t>
                  </w:r>
                  <w:r>
                    <w:rPr>
                      <w:rStyle w:val="row-content-rich-text"/>
                      <w:b/>
                    </w:rPr>
                    <w:t xml:space="preserve">Category</w:t>
                  </w:r>
                </w:p>
              </w:tc>
              <w:tc>
                <w:tcPr>
                  <w:tcW w:w="200" w:type="pct"/>
                  <w:vAlign w:val="top"/>
                </w:tcPr>
                <w:p>
                  <w:r>
                    <w:rPr>
                      <w:b/>
                    </w:rPr>
                    <w:t xml:space="preserve">ICD-10-AM codes</w:t>
                  </w:r>
                </w:p>
              </w:tc>
              <w:tc>
                <w:tcPr>
                  <w:tcW w:w="1950" w:type="pct"/>
                  <w:vAlign w:val="top"/>
                </w:tcPr>
                <w:p>
                  <w:r>
                    <w:rPr>
                      <w:b/>
                    </w:rPr>
                    <w:t xml:space="preserve">ICD-10-AM description</w:t>
                  </w:r>
                </w:p>
              </w:tc>
              <w:tc>
                <w:tcPr>
                  <w:tcW w:w="2450" w:type="pct"/>
                  <w:vAlign w:val="top"/>
                </w:tcPr>
                <w:p>
                  <w:r>
                    <w:rPr>
                      <w:b/>
                    </w:rPr>
                    <w:t xml:space="preserve">Additional requirements</w:t>
                  </w:r>
                </w:p>
              </w:tc>
            </w:tr>
            <w:tr>
              <w:trPr/>
              <w:tc>
                <w:tcPr>
                  <w:tcW w:w="250" w:type="pct"/>
                  <w:vAlign w:val="top"/>
                </w:tcPr>
                <w:p>
                  <w:r>
                    <w:rPr>
                      <w:b/>
                    </w:rPr>
                    <w:t xml:space="preserve">Vaccine-preventable conditions</w:t>
                  </w:r>
                </w:p>
              </w:tc>
              <w:tc>
                <w:tcPr>
                  <w:tcW w:w="200" w:type="pct"/>
                  <w:vAlign w:val="top"/>
                </w:tcPr>
                <w:p>
                  <w:r>
                    <w:t xml:space="preserve"> </w:t>
                  </w:r>
                </w:p>
              </w:tc>
              <w:tc>
                <w:tcPr>
                  <w:tcW w:w="1950" w:type="pct"/>
                  <w:vAlign w:val="top"/>
                </w:tcPr>
                <w:p>
                  <w:r>
                    <w:t xml:space="preserve"> </w:t>
                  </w:r>
                </w:p>
              </w:tc>
              <w:tc>
                <w:tcPr>
                  <w:tcW w:w="2450" w:type="pct"/>
                  <w:vAlign w:val="top"/>
                </w:tcPr>
                <w:p>
                  <w:r>
                    <w:t xml:space="preserve"> </w:t>
                  </w:r>
                </w:p>
              </w:tc>
            </w:tr>
            <w:tr>
              <w:trPr/>
              <w:tc>
                <w:tcPr>
                  <w:tcW w:w="250" w:type="pct"/>
                  <w:vAlign w:val="top"/>
                </w:tcPr>
                <w:p>
                  <w:r>
                    <w:t xml:space="preserve">Pneumonia and influenza (vaccine-preventable)</w:t>
                  </w:r>
                </w:p>
              </w:tc>
              <w:tc>
                <w:tcPr>
                  <w:tcW w:w="200" w:type="pct"/>
                  <w:vAlign w:val="top"/>
                </w:tcPr>
                <w:p>
                  <w:r>
                    <w:t xml:space="preserve">J10</w:t>
                  </w:r>
                </w:p>
              </w:tc>
              <w:tc>
                <w:tcPr>
                  <w:tcW w:w="1950" w:type="pct"/>
                  <w:vAlign w:val="top"/>
                </w:tcPr>
                <w:p>
                  <w:r>
                    <w:t xml:space="preserve">Influenza due to other identified influenza virus</w:t>
                  </w:r>
                </w:p>
              </w:tc>
              <w:tc>
                <w:tcPr>
                  <w:tcW w:w="2450" w:type="pct"/>
                  <w:vAlign w:val="top"/>
                </w:tcPr>
                <w:p>
                  <w:r>
                    <w:t xml:space="preserve">In any diagnosis.</w:t>
                  </w:r>
                </w:p>
                <w:p>
                  <w:r>
                    <w:t xml:space="preserve">Exclude people under 2 months.</w:t>
                  </w:r>
                </w:p>
              </w:tc>
            </w:tr>
            <w:tr>
              <w:trPr/>
              <w:tc>
                <w:tcPr>
                  <w:tcW w:w="250" w:type="pct"/>
                  <w:vAlign w:val="top"/>
                </w:tcPr>
                <w:p>
                  <w:r>
                    <w:t xml:space="preserve"> </w:t>
                  </w:r>
                </w:p>
              </w:tc>
              <w:tc>
                <w:tcPr>
                  <w:tcW w:w="200" w:type="pct"/>
                  <w:vAlign w:val="top"/>
                </w:tcPr>
                <w:p>
                  <w:r>
                    <w:t xml:space="preserve">J11</w:t>
                  </w:r>
                </w:p>
              </w:tc>
              <w:tc>
                <w:tcPr>
                  <w:tcW w:w="1950" w:type="pct"/>
                  <w:vAlign w:val="top"/>
                </w:tcPr>
                <w:p>
                  <w:r>
                    <w:t xml:space="preserve">Influenza, virus not identified</w:t>
                  </w:r>
                </w:p>
              </w:tc>
              <w:tc>
                <w:tcPr>
                  <w:tcW w:w="2450" w:type="pct"/>
                  <w:vAlign w:val="top"/>
                </w:tcPr>
                <w:p>
                  <w:r>
                    <w:t xml:space="preserve">In any diagnosis.</w:t>
                  </w:r>
                </w:p>
                <w:p>
                  <w:r>
                    <w:t xml:space="preserve">Exclude people under 2 months.</w:t>
                  </w:r>
                </w:p>
              </w:tc>
            </w:tr>
            <w:tr>
              <w:trPr/>
              <w:tc>
                <w:tcPr>
                  <w:tcW w:w="250" w:type="pct"/>
                  <w:vAlign w:val="top"/>
                </w:tcPr>
                <w:p>
                  <w:r>
                    <w:t xml:space="preserve"> </w:t>
                  </w:r>
                </w:p>
              </w:tc>
              <w:tc>
                <w:tcPr>
                  <w:tcW w:w="200" w:type="pct"/>
                  <w:vAlign w:val="top"/>
                </w:tcPr>
                <w:p>
                  <w:r>
                    <w:t xml:space="preserve">J13</w:t>
                  </w:r>
                </w:p>
              </w:tc>
              <w:tc>
                <w:tcPr>
                  <w:tcW w:w="1950" w:type="pct"/>
                  <w:vAlign w:val="top"/>
                </w:tcPr>
                <w:p>
                  <w:r>
                    <w:t xml:space="preserve">Pneumonia due to </w:t>
                  </w:r>
                  <w:r>
                    <w:rPr>
                      <w:i/>
                    </w:rPr>
                    <w:t xml:space="preserve">Streptococcus pneumoniae</w:t>
                  </w:r>
                </w:p>
              </w:tc>
              <w:tc>
                <w:tcPr>
                  <w:tcW w:w="2450" w:type="pct"/>
                  <w:vAlign w:val="top"/>
                </w:tcPr>
                <w:p>
                  <w:r>
                    <w:t xml:space="preserve">In any diagnosis.</w:t>
                  </w:r>
                </w:p>
                <w:p>
                  <w:r>
                    <w:t xml:space="preserve">Exclude people under 2 months.</w:t>
                  </w:r>
                </w:p>
              </w:tc>
            </w:tr>
            <w:tr>
              <w:trPr/>
              <w:tc>
                <w:tcPr>
                  <w:tcW w:w="250" w:type="pct"/>
                  <w:vAlign w:val="top"/>
                </w:tcPr>
                <w:p>
                  <w:r>
                    <w:t xml:space="preserve"> </w:t>
                  </w:r>
                </w:p>
              </w:tc>
              <w:tc>
                <w:tcPr>
                  <w:tcW w:w="200" w:type="pct"/>
                  <w:vAlign w:val="top"/>
                </w:tcPr>
                <w:p>
                  <w:r>
                    <w:t xml:space="preserve">J14</w:t>
                  </w:r>
                </w:p>
              </w:tc>
              <w:tc>
                <w:tcPr>
                  <w:tcW w:w="1950" w:type="pct"/>
                  <w:vAlign w:val="top"/>
                </w:tcPr>
                <w:p>
                  <w:r>
                    <w:t xml:space="preserve">Pneumonia due to </w:t>
                  </w:r>
                  <w:r>
                    <w:rPr>
                      <w:i/>
                    </w:rPr>
                    <w:t xml:space="preserve">Haemophilus influenzae</w:t>
                  </w:r>
                </w:p>
              </w:tc>
              <w:tc>
                <w:tcPr>
                  <w:tcW w:w="2450" w:type="pct"/>
                  <w:vAlign w:val="top"/>
                </w:tcPr>
                <w:p>
                  <w:r>
                    <w:t xml:space="preserve">In any diagnosis.</w:t>
                  </w:r>
                </w:p>
                <w:p>
                  <w:r>
                    <w:t xml:space="preserve">Exclude people under 2 months.</w:t>
                  </w:r>
                </w:p>
              </w:tc>
            </w:tr>
            <w:tr>
              <w:trPr/>
              <w:tc>
                <w:tcPr>
                  <w:tcW w:w="250" w:type="pct"/>
                  <w:vAlign w:val="top"/>
                </w:tcPr>
                <w:p>
                  <w:r>
                    <w:t xml:space="preserve">Other vaccine-preventable conditions</w:t>
                  </w:r>
                </w:p>
              </w:tc>
              <w:tc>
                <w:tcPr>
                  <w:tcW w:w="200" w:type="pct"/>
                  <w:vAlign w:val="top"/>
                </w:tcPr>
                <w:p>
                  <w:r>
                    <w:t xml:space="preserve">A08.0</w:t>
                  </w:r>
                </w:p>
              </w:tc>
              <w:tc>
                <w:tcPr>
                  <w:tcW w:w="1950" w:type="pct"/>
                  <w:vAlign w:val="top"/>
                </w:tcPr>
                <w:p>
                  <w:r>
                    <w:t xml:space="preserve">Rotaviral enteritis</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A35</w:t>
                  </w:r>
                </w:p>
              </w:tc>
              <w:tc>
                <w:tcPr>
                  <w:tcW w:w="1950" w:type="pct"/>
                  <w:vAlign w:val="top"/>
                </w:tcPr>
                <w:p>
                  <w:r>
                    <w:t xml:space="preserve">Other tetanus</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A36</w:t>
                  </w:r>
                </w:p>
              </w:tc>
              <w:tc>
                <w:tcPr>
                  <w:tcW w:w="1950" w:type="pct"/>
                  <w:vAlign w:val="top"/>
                </w:tcPr>
                <w:p>
                  <w:r>
                    <w:t xml:space="preserve">Diphtheria</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A37</w:t>
                  </w:r>
                </w:p>
              </w:tc>
              <w:tc>
                <w:tcPr>
                  <w:tcW w:w="1950" w:type="pct"/>
                  <w:vAlign w:val="top"/>
                </w:tcPr>
                <w:p>
                  <w:r>
                    <w:t xml:space="preserve">Whooping cough</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A80</w:t>
                  </w:r>
                </w:p>
              </w:tc>
              <w:tc>
                <w:tcPr>
                  <w:tcW w:w="1950" w:type="pct"/>
                  <w:vAlign w:val="top"/>
                </w:tcPr>
                <w:p>
                  <w:r>
                    <w:t xml:space="preserve">Acute poliomyelitis</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B01</w:t>
                  </w:r>
                </w:p>
              </w:tc>
              <w:tc>
                <w:tcPr>
                  <w:tcW w:w="1950" w:type="pct"/>
                  <w:vAlign w:val="top"/>
                </w:tcPr>
                <w:p>
                  <w:r>
                    <w:t xml:space="preserve">Varicella [chicken pox]</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B05</w:t>
                  </w:r>
                </w:p>
              </w:tc>
              <w:tc>
                <w:tcPr>
                  <w:tcW w:w="1950" w:type="pct"/>
                  <w:vAlign w:val="top"/>
                </w:tcPr>
                <w:p>
                  <w:r>
                    <w:t xml:space="preserve">Measles</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B06</w:t>
                  </w:r>
                </w:p>
              </w:tc>
              <w:tc>
                <w:tcPr>
                  <w:tcW w:w="1950" w:type="pct"/>
                  <w:vAlign w:val="top"/>
                </w:tcPr>
                <w:p>
                  <w:r>
                    <w:t xml:space="preserve">Rubella [German measles]</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B16.1</w:t>
                  </w:r>
                </w:p>
              </w:tc>
              <w:tc>
                <w:tcPr>
                  <w:tcW w:w="1950" w:type="pct"/>
                  <w:vAlign w:val="top"/>
                </w:tcPr>
                <w:p>
                  <w:r>
                    <w:t xml:space="preserve">Acute hepatitis B with delta-agent (coinfection) without hepatic coma</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B16.9</w:t>
                  </w:r>
                </w:p>
              </w:tc>
              <w:tc>
                <w:tcPr>
                  <w:tcW w:w="1950" w:type="pct"/>
                  <w:vAlign w:val="top"/>
                </w:tcPr>
                <w:p>
                  <w:r>
                    <w:t xml:space="preserve">Acute hepatitis B without delta-agent and without hepatic coma</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B18.0</w:t>
                  </w:r>
                </w:p>
              </w:tc>
              <w:tc>
                <w:tcPr>
                  <w:tcW w:w="1950" w:type="pct"/>
                  <w:vAlign w:val="top"/>
                </w:tcPr>
                <w:p>
                  <w:r>
                    <w:t xml:space="preserve">Chronic viral hepatitis B with delta-agent</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B18.1</w:t>
                  </w:r>
                </w:p>
              </w:tc>
              <w:tc>
                <w:tcPr>
                  <w:tcW w:w="1950" w:type="pct"/>
                  <w:vAlign w:val="top"/>
                </w:tcPr>
                <w:p>
                  <w:r>
                    <w:t xml:space="preserve">Chronic viral hepatitis B without delta-agent</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B26</w:t>
                  </w:r>
                </w:p>
              </w:tc>
              <w:tc>
                <w:tcPr>
                  <w:tcW w:w="1950" w:type="pct"/>
                  <w:vAlign w:val="top"/>
                </w:tcPr>
                <w:p>
                  <w:r>
                    <w:t xml:space="preserve">Mumps</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G00.0</w:t>
                  </w:r>
                </w:p>
              </w:tc>
              <w:tc>
                <w:tcPr>
                  <w:tcW w:w="1950" w:type="pct"/>
                  <w:vAlign w:val="top"/>
                </w:tcPr>
                <w:p>
                  <w:r>
                    <w:t xml:space="preserve">Haemophilus meningitis</w:t>
                  </w:r>
                </w:p>
              </w:tc>
              <w:tc>
                <w:tcPr>
                  <w:tcW w:w="2450" w:type="pct"/>
                  <w:vAlign w:val="top"/>
                </w:tcPr>
                <w:p>
                  <w:r>
                    <w:t xml:space="preserve">In any diagnosis.</w:t>
                  </w:r>
                </w:p>
              </w:tc>
            </w:tr>
            <w:tr>
              <w:trPr/>
              <w:tc>
                <w:tcPr>
                  <w:tcW w:w="250" w:type="pct"/>
                  <w:vAlign w:val="top"/>
                </w:tcPr>
                <w:p>
                  <w:r>
                    <w:rPr>
                      <w:b/>
                    </w:rPr>
                    <w:t xml:space="preserve">Chronic</w:t>
                  </w:r>
                </w:p>
              </w:tc>
              <w:tc>
                <w:tcPr>
                  <w:tcW w:w="200" w:type="pct"/>
                  <w:vAlign w:val="top"/>
                </w:tcPr>
                <w:p>
                  <w:r>
                    <w:t xml:space="preserve"> </w:t>
                  </w:r>
                </w:p>
              </w:tc>
              <w:tc>
                <w:tcPr>
                  <w:tcW w:w="1950" w:type="pct"/>
                  <w:vAlign w:val="top"/>
                </w:tcPr>
                <w:p>
                  <w:r>
                    <w:t xml:space="preserve"> </w:t>
                  </w:r>
                </w:p>
              </w:tc>
              <w:tc>
                <w:tcPr>
                  <w:tcW w:w="2450" w:type="pct"/>
                  <w:vAlign w:val="top"/>
                </w:tcPr>
                <w:p>
                  <w:r>
                    <w:t xml:space="preserve"> </w:t>
                  </w:r>
                </w:p>
              </w:tc>
            </w:tr>
            <w:tr>
              <w:trPr/>
              <w:tc>
                <w:tcPr>
                  <w:tcW w:w="250" w:type="pct"/>
                  <w:vAlign w:val="top"/>
                </w:tcPr>
                <w:p>
                  <w:r>
                    <w:t xml:space="preserve">Asthma</w:t>
                  </w:r>
                </w:p>
              </w:tc>
              <w:tc>
                <w:tcPr>
                  <w:tcW w:w="200" w:type="pct"/>
                  <w:vAlign w:val="top"/>
                </w:tcPr>
                <w:p>
                  <w:r>
                    <w:t xml:space="preserve">J45</w:t>
                  </w:r>
                </w:p>
              </w:tc>
              <w:tc>
                <w:tcPr>
                  <w:tcW w:w="1950" w:type="pct"/>
                  <w:vAlign w:val="top"/>
                </w:tcPr>
                <w:p>
                  <w:r>
                    <w:t xml:space="preserve">Asthma</w:t>
                  </w:r>
                </w:p>
              </w:tc>
              <w:tc>
                <w:tcPr>
                  <w:tcW w:w="2450" w:type="pct"/>
                  <w:vAlign w:val="top"/>
                </w:tcPr>
                <w:p>
                  <w:r>
                    <w:t xml:space="preserve">As principal diagnosis.</w:t>
                  </w:r>
                </w:p>
                <w:p>
                  <w:r>
                    <w:t xml:space="preserve">Exclude children aged less than 4 years.</w:t>
                  </w:r>
                </w:p>
              </w:tc>
            </w:tr>
            <w:tr>
              <w:trPr/>
              <w:tc>
                <w:tcPr>
                  <w:tcW w:w="250" w:type="pct"/>
                  <w:vAlign w:val="top"/>
                </w:tcPr>
                <w:p>
                  <w:r>
                    <w:t xml:space="preserve"> </w:t>
                  </w:r>
                </w:p>
              </w:tc>
              <w:tc>
                <w:tcPr>
                  <w:tcW w:w="200" w:type="pct"/>
                  <w:vAlign w:val="top"/>
                </w:tcPr>
                <w:p>
                  <w:r>
                    <w:t xml:space="preserve">J46</w:t>
                  </w:r>
                </w:p>
              </w:tc>
              <w:tc>
                <w:tcPr>
                  <w:tcW w:w="1950" w:type="pct"/>
                  <w:vAlign w:val="top"/>
                </w:tcPr>
                <w:p>
                  <w:r>
                    <w:t xml:space="preserve">Status asthmaticus</w:t>
                  </w:r>
                </w:p>
              </w:tc>
              <w:tc>
                <w:tcPr>
                  <w:tcW w:w="2450" w:type="pct"/>
                  <w:vAlign w:val="top"/>
                </w:tcPr>
                <w:p>
                  <w:r>
                    <w:t xml:space="preserve">As principal diagnosis.</w:t>
                  </w:r>
                </w:p>
                <w:p>
                  <w:r>
                    <w:t xml:space="preserve">Exclude children aged less than 4 years.</w:t>
                  </w:r>
                </w:p>
              </w:tc>
            </w:tr>
            <w:tr>
              <w:trPr/>
              <w:tc>
                <w:tcPr>
                  <w:tcW w:w="250" w:type="pct"/>
                  <w:vAlign w:val="top"/>
                </w:tcPr>
                <w:p>
                  <w:r>
                    <w:t xml:space="preserve">Congestive cardiac failure</w:t>
                  </w:r>
                </w:p>
              </w:tc>
              <w:tc>
                <w:tcPr>
                  <w:tcW w:w="200" w:type="pct"/>
                  <w:vAlign w:val="top"/>
                </w:tcPr>
                <w:p>
                  <w:r>
                    <w:t xml:space="preserve">I50</w:t>
                  </w:r>
                </w:p>
              </w:tc>
              <w:tc>
                <w:tcPr>
                  <w:tcW w:w="1950" w:type="pct"/>
                  <w:vAlign w:val="top"/>
                </w:tcPr>
                <w:p>
                  <w:r>
                    <w:t xml:space="preserve">Heart failure</w:t>
                  </w:r>
                </w:p>
              </w:tc>
              <w:tc>
                <w:tcPr>
                  <w:tcW w:w="2450" w:type="pct"/>
                  <w:vAlign w:val="top"/>
                </w:tcPr>
                <w:p>
                  <w:r>
                    <w:t xml:space="preserve">As principal diagnosis.</w:t>
                  </w:r>
                </w:p>
                <w:p>
                  <w:r>
                    <w:t xml:space="preserve">Exclude cases with the following cardiac procedure codes:</w:t>
                  </w:r>
                </w:p>
                <w:p>
                  <w:r>
                    <w:t xml:space="preserve">Blocks [600]–[606], [608]–[650], [653]–[657], [660]–[664], [666], [669]–[682], [684]–[691], [693], [705]–[707], [717] and codes 33172-00[715], 33827-01[733], 34800-00[726], 35412-00[11], 38721-01[733], 90217-02[734], 90215-02[732].</w:t>
                  </w:r>
                </w:p>
              </w:tc>
            </w:tr>
            <w:tr>
              <w:trPr/>
              <w:tc>
                <w:tcPr>
                  <w:tcW w:w="250" w:type="pct"/>
                  <w:vAlign w:val="top"/>
                </w:tcPr>
                <w:p>
                  <w:r>
                    <w:t xml:space="preserve"> </w:t>
                  </w:r>
                </w:p>
              </w:tc>
              <w:tc>
                <w:tcPr>
                  <w:tcW w:w="200" w:type="pct"/>
                  <w:vAlign w:val="top"/>
                </w:tcPr>
                <w:p>
                  <w:r>
                    <w:t xml:space="preserve">I11.0</w:t>
                  </w:r>
                </w:p>
              </w:tc>
              <w:tc>
                <w:tcPr>
                  <w:tcW w:w="1950" w:type="pct"/>
                  <w:vAlign w:val="top"/>
                </w:tcPr>
                <w:p>
                  <w:r>
                    <w:t xml:space="preserve">Hypertensive heart disease with (congestive) heart failure</w:t>
                  </w:r>
                </w:p>
              </w:tc>
              <w:tc>
                <w:tcPr>
                  <w:tcW w:w="2450" w:type="pct"/>
                  <w:vAlign w:val="top"/>
                </w:tcPr>
                <w:p>
                  <w:r>
                    <w:t xml:space="preserve">As principal diagnosis.</w:t>
                  </w:r>
                </w:p>
                <w:p>
                  <w:r>
                    <w:t xml:space="preserve">Exclude cases with the following cardiac procedure codes:</w:t>
                  </w:r>
                </w:p>
                <w:p>
                  <w:r>
                    <w:t xml:space="preserve">Blocks [600]–[606], [608]–[650], [653]–[657], [660]–[664], [666], [669]–[682], [684]–[691], [693], [705]–[707], [717 and codes 33172-00[715], 33827-01[733], 34800-00[726], 35412-00[11], 38721-01[733], 90217-02[734], 90215-02[732].</w:t>
                  </w:r>
                </w:p>
              </w:tc>
            </w:tr>
            <w:tr>
              <w:trPr/>
              <w:tc>
                <w:tcPr>
                  <w:tcW w:w="250" w:type="pct"/>
                  <w:vAlign w:val="top"/>
                </w:tcPr>
                <w:p>
                  <w:r>
                    <w:t xml:space="preserve"> </w:t>
                  </w:r>
                </w:p>
              </w:tc>
              <w:tc>
                <w:tcPr>
                  <w:tcW w:w="200" w:type="pct"/>
                  <w:vAlign w:val="top"/>
                </w:tcPr>
                <w:p>
                  <w:r>
                    <w:t xml:space="preserve">J81</w:t>
                  </w:r>
                </w:p>
              </w:tc>
              <w:tc>
                <w:tcPr>
                  <w:tcW w:w="1950" w:type="pct"/>
                  <w:vAlign w:val="top"/>
                </w:tcPr>
                <w:p>
                  <w:r>
                    <w:t xml:space="preserve">Pulmonary oedema</w:t>
                  </w:r>
                </w:p>
              </w:tc>
              <w:tc>
                <w:tcPr>
                  <w:tcW w:w="2450" w:type="pct"/>
                  <w:vAlign w:val="top"/>
                </w:tcPr>
                <w:p>
                  <w:r>
                    <w:t xml:space="preserve">As principal diagnosis.</w:t>
                  </w:r>
                </w:p>
                <w:p>
                  <w:r>
                    <w:t xml:space="preserve">Exclude cases with the following cardiac procedure codes:</w:t>
                  </w:r>
                </w:p>
                <w:p>
                  <w:r>
                    <w:t xml:space="preserve">Blocks [600]–[606], [608]–[650], [653]–[657], [660]–[664], [666], [669]–[682], [684]–[691], [693], [705]–[707], [717 and codes 33172-00[715], 33827-01[733], 34800-00[726], 35412-00[11], 38721-01[733], 90217-02[734], 90215-02[732].</w:t>
                  </w:r>
                </w:p>
              </w:tc>
            </w:tr>
            <w:tr>
              <w:trPr/>
              <w:tc>
                <w:tcPr>
                  <w:tcW w:w="250" w:type="pct"/>
                  <w:vAlign w:val="top"/>
                </w:tcPr>
                <w:p>
                  <w:r>
                    <w:t xml:space="preserve">Diabetes complications</w:t>
                  </w:r>
                </w:p>
              </w:tc>
              <w:tc>
                <w:tcPr>
                  <w:tcW w:w="200" w:type="pct"/>
                  <w:vAlign w:val="top"/>
                </w:tcPr>
                <w:p>
                  <w:r>
                    <w:t xml:space="preserve">E10.0–E10.9</w:t>
                  </w:r>
                </w:p>
              </w:tc>
              <w:tc>
                <w:tcPr>
                  <w:tcW w:w="1950" w:type="pct"/>
                  <w:vAlign w:val="top"/>
                </w:tcPr>
                <w:p>
                  <w:r>
                    <w:t xml:space="preserve">Type 1 diabetes mellitus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E11.0–E11.9</w:t>
                  </w:r>
                </w:p>
              </w:tc>
              <w:tc>
                <w:tcPr>
                  <w:tcW w:w="1950" w:type="pct"/>
                  <w:vAlign w:val="top"/>
                </w:tcPr>
                <w:p>
                  <w:r>
                    <w:t xml:space="preserve">Type 2 diabetes mellitus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E13.0–E13.9</w:t>
                  </w:r>
                </w:p>
              </w:tc>
              <w:tc>
                <w:tcPr>
                  <w:tcW w:w="1950" w:type="pct"/>
                  <w:vAlign w:val="top"/>
                </w:tcPr>
                <w:p>
                  <w:r>
                    <w:t xml:space="preserve">Other specified diabetes mellitus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E14.0–E14.9</w:t>
                  </w:r>
                </w:p>
              </w:tc>
              <w:tc>
                <w:tcPr>
                  <w:tcW w:w="1950" w:type="pct"/>
                  <w:vAlign w:val="top"/>
                </w:tcPr>
                <w:p>
                  <w:r>
                    <w:t xml:space="preserve">Unspecified diabetes mellitus</w:t>
                  </w:r>
                </w:p>
              </w:tc>
              <w:tc>
                <w:tcPr>
                  <w:tcW w:w="2450" w:type="pct"/>
                  <w:vAlign w:val="top"/>
                </w:tcPr>
                <w:p>
                  <w:r>
                    <w:t xml:space="preserve">As principal diagnosis.</w:t>
                  </w:r>
                </w:p>
              </w:tc>
            </w:tr>
            <w:tr>
              <w:trPr/>
              <w:tc>
                <w:tcPr>
                  <w:tcW w:w="250" w:type="pct"/>
                  <w:vAlign w:val="top"/>
                </w:tcPr>
                <w:p>
                  <w:r>
                    <w:t xml:space="preserve">COPD</w:t>
                  </w:r>
                </w:p>
              </w:tc>
              <w:tc>
                <w:tcPr>
                  <w:tcW w:w="200" w:type="pct"/>
                  <w:vAlign w:val="top"/>
                </w:tcPr>
                <w:p>
                  <w:r>
                    <w:t xml:space="preserve">J20</w:t>
                  </w:r>
                </w:p>
              </w:tc>
              <w:tc>
                <w:tcPr>
                  <w:tcW w:w="1950" w:type="pct"/>
                  <w:vAlign w:val="top"/>
                </w:tcPr>
                <w:p>
                  <w:r>
                    <w:t xml:space="preserve">Acute bronchitis</w:t>
                  </w:r>
                </w:p>
              </w:tc>
              <w:tc>
                <w:tcPr>
                  <w:tcW w:w="2450" w:type="pct"/>
                  <w:vAlign w:val="top"/>
                </w:tcPr>
                <w:p>
                  <w:r>
                    <w:t xml:space="preserve">As principal diagnosis.</w:t>
                  </w:r>
                </w:p>
                <w:p>
                  <w:r>
                    <w:t xml:space="preserve">Only with additional diagnoses of J41, J42, J43, J44.</w:t>
                  </w:r>
                </w:p>
              </w:tc>
            </w:tr>
            <w:tr>
              <w:trPr/>
              <w:tc>
                <w:tcPr>
                  <w:tcW w:w="250" w:type="pct"/>
                  <w:vAlign w:val="top"/>
                </w:tcPr>
                <w:p>
                  <w:r>
                    <w:t xml:space="preserve"> </w:t>
                  </w:r>
                </w:p>
              </w:tc>
              <w:tc>
                <w:tcPr>
                  <w:tcW w:w="200" w:type="pct"/>
                  <w:vAlign w:val="top"/>
                </w:tcPr>
                <w:p>
                  <w:r>
                    <w:t xml:space="preserve">J41</w:t>
                  </w:r>
                </w:p>
              </w:tc>
              <w:tc>
                <w:tcPr>
                  <w:tcW w:w="1950" w:type="pct"/>
                  <w:vAlign w:val="top"/>
                </w:tcPr>
                <w:p>
                  <w:r>
                    <w:t xml:space="preserve">Simple and mucopurulent chronic bronchitis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J42</w:t>
                  </w:r>
                </w:p>
              </w:tc>
              <w:tc>
                <w:tcPr>
                  <w:tcW w:w="1950" w:type="pct"/>
                  <w:vAlign w:val="top"/>
                </w:tcPr>
                <w:p>
                  <w:r>
                    <w:t xml:space="preserve">Unspecified chronic bronchitis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J43</w:t>
                  </w:r>
                </w:p>
              </w:tc>
              <w:tc>
                <w:tcPr>
                  <w:tcW w:w="1950" w:type="pct"/>
                  <w:vAlign w:val="top"/>
                </w:tcPr>
                <w:p>
                  <w:r>
                    <w:t xml:space="preserve">Emphysema</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J44</w:t>
                  </w:r>
                </w:p>
              </w:tc>
              <w:tc>
                <w:tcPr>
                  <w:tcW w:w="1950" w:type="pct"/>
                  <w:vAlign w:val="top"/>
                </w:tcPr>
                <w:p>
                  <w:r>
                    <w:t xml:space="preserve">Other chronic obstructive pulmonary disease</w:t>
                  </w:r>
                </w:p>
              </w:tc>
              <w:tc>
                <w:tcPr>
                  <w:tcW w:w="2450" w:type="pct"/>
                  <w:vAlign w:val="top"/>
                </w:tcPr>
                <w:p>
                  <w:r>
                    <w:t xml:space="preserve">As principal diagnosis.</w:t>
                  </w:r>
                </w:p>
              </w:tc>
            </w:tr>
            <w:tr>
              <w:trPr/>
              <w:tc>
                <w:tcPr>
                  <w:tcW w:w="250" w:type="pct"/>
                  <w:vAlign w:val="top"/>
                </w:tcPr>
                <w:p>
                  <w:r>
                    <w:t xml:space="preserve">Bronchiectasis</w:t>
                  </w:r>
                </w:p>
              </w:tc>
              <w:tc>
                <w:tcPr>
                  <w:tcW w:w="200" w:type="pct"/>
                  <w:vAlign w:val="top"/>
                </w:tcPr>
                <w:p>
                  <w:r>
                    <w:t xml:space="preserve">J47</w:t>
                  </w:r>
                </w:p>
              </w:tc>
              <w:tc>
                <w:tcPr>
                  <w:tcW w:w="1950" w:type="pct"/>
                  <w:vAlign w:val="top"/>
                </w:tcPr>
                <w:p>
                  <w:r>
                    <w:t xml:space="preserve">Bronchiectasis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J20</w:t>
                  </w:r>
                </w:p>
              </w:tc>
              <w:tc>
                <w:tcPr>
                  <w:tcW w:w="1950" w:type="pct"/>
                  <w:vAlign w:val="top"/>
                </w:tcPr>
                <w:p>
                  <w:r>
                    <w:t xml:space="preserve">Acute bronchitis</w:t>
                  </w:r>
                </w:p>
              </w:tc>
              <w:tc>
                <w:tcPr>
                  <w:tcW w:w="2450" w:type="pct"/>
                  <w:vAlign w:val="top"/>
                </w:tcPr>
                <w:p>
                  <w:r>
                    <w:t xml:space="preserve">As principal diagnosis.</w:t>
                  </w:r>
                </w:p>
                <w:p>
                  <w:r>
                    <w:t xml:space="preserve">Only with additional diagnosis of J47.</w:t>
                  </w:r>
                </w:p>
              </w:tc>
            </w:tr>
            <w:tr>
              <w:trPr/>
              <w:tc>
                <w:tcPr>
                  <w:tcW w:w="250" w:type="pct"/>
                  <w:vAlign w:val="top"/>
                </w:tcPr>
                <w:p>
                  <w:r>
                    <w:t xml:space="preserve">Angina</w:t>
                  </w:r>
                </w:p>
              </w:tc>
              <w:tc>
                <w:tcPr>
                  <w:tcW w:w="200" w:type="pct"/>
                  <w:vAlign w:val="top"/>
                </w:tcPr>
                <w:p>
                  <w:r>
                    <w:t xml:space="preserve">I20</w:t>
                  </w:r>
                </w:p>
              </w:tc>
              <w:tc>
                <w:tcPr>
                  <w:tcW w:w="1950" w:type="pct"/>
                  <w:vAlign w:val="top"/>
                </w:tcPr>
                <w:p>
                  <w:r>
                    <w:t xml:space="preserve">Angina pectoris</w:t>
                  </w:r>
                </w:p>
              </w:tc>
              <w:tc>
                <w:tcPr>
                  <w:tcW w:w="2450" w:type="pct"/>
                  <w:vAlign w:val="top"/>
                </w:tcPr>
                <w:p>
                  <w:r>
                    <w:t xml:space="preserve">As principal diagnosis.</w:t>
                  </w:r>
                </w:p>
                <w:p>
                  <w:r>
                    <w:t xml:space="preserve">Exclude cases according to the list of procedures excluded from the Congestive cardiac failure category above.</w:t>
                  </w:r>
                </w:p>
              </w:tc>
            </w:tr>
            <w:tr>
              <w:trPr/>
              <w:tc>
                <w:tcPr>
                  <w:tcW w:w="250" w:type="pct"/>
                  <w:vAlign w:val="top"/>
                </w:tcPr>
                <w:p>
                  <w:r>
                    <w:t xml:space="preserve"> </w:t>
                  </w:r>
                </w:p>
              </w:tc>
              <w:tc>
                <w:tcPr>
                  <w:tcW w:w="200" w:type="pct"/>
                  <w:vAlign w:val="top"/>
                </w:tcPr>
                <w:p>
                  <w:r>
                    <w:t xml:space="preserve">I24.0</w:t>
                  </w:r>
                </w:p>
              </w:tc>
              <w:tc>
                <w:tcPr>
                  <w:tcW w:w="1950" w:type="pct"/>
                  <w:vAlign w:val="top"/>
                </w:tcPr>
                <w:p>
                  <w:r>
                    <w:t xml:space="preserve">Coronary thrombosis not resulting in myocardial infarction</w:t>
                  </w:r>
                </w:p>
              </w:tc>
              <w:tc>
                <w:tcPr>
                  <w:tcW w:w="2450" w:type="pct"/>
                  <w:vAlign w:val="top"/>
                </w:tcPr>
                <w:p>
                  <w:r>
                    <w:t xml:space="preserve">As principal diagnosis.</w:t>
                  </w:r>
                </w:p>
                <w:p>
                  <w:r>
                    <w:t xml:space="preserve">Exclude cases according to the list of procedures excluded from the Congestive cardiac failure category above.</w:t>
                  </w:r>
                </w:p>
              </w:tc>
            </w:tr>
            <w:tr>
              <w:trPr/>
              <w:tc>
                <w:tcPr>
                  <w:tcW w:w="250" w:type="pct"/>
                  <w:vAlign w:val="top"/>
                </w:tcPr>
                <w:p>
                  <w:r>
                    <w:t xml:space="preserve"> </w:t>
                  </w:r>
                </w:p>
              </w:tc>
              <w:tc>
                <w:tcPr>
                  <w:tcW w:w="200" w:type="pct"/>
                  <w:vAlign w:val="top"/>
                </w:tcPr>
                <w:p>
                  <w:r>
                    <w:t xml:space="preserve">I24.8</w:t>
                  </w:r>
                </w:p>
              </w:tc>
              <w:tc>
                <w:tcPr>
                  <w:tcW w:w="1950" w:type="pct"/>
                  <w:vAlign w:val="top"/>
                </w:tcPr>
                <w:p>
                  <w:r>
                    <w:t xml:space="preserve">Other forms of acute ischaemic heart disease</w:t>
                  </w:r>
                </w:p>
              </w:tc>
              <w:tc>
                <w:tcPr>
                  <w:tcW w:w="2450" w:type="pct"/>
                  <w:vAlign w:val="top"/>
                </w:tcPr>
                <w:p>
                  <w:r>
                    <w:t xml:space="preserve">As principal diagnosis.</w:t>
                  </w:r>
                </w:p>
                <w:p>
                  <w:r>
                    <w:t xml:space="preserve">Exclude cases according to the list of procedures excluded from the Congestive cardiac failure category above.</w:t>
                  </w:r>
                </w:p>
              </w:tc>
            </w:tr>
            <w:tr>
              <w:trPr/>
              <w:tc>
                <w:tcPr>
                  <w:tcW w:w="250" w:type="pct"/>
                  <w:vAlign w:val="top"/>
                </w:tcPr>
                <w:p>
                  <w:r>
                    <w:t xml:space="preserve"> </w:t>
                  </w:r>
                </w:p>
              </w:tc>
              <w:tc>
                <w:tcPr>
                  <w:tcW w:w="200" w:type="pct"/>
                  <w:vAlign w:val="top"/>
                </w:tcPr>
                <w:p>
                  <w:r>
                    <w:t xml:space="preserve">I24.9</w:t>
                  </w:r>
                </w:p>
              </w:tc>
              <w:tc>
                <w:tcPr>
                  <w:tcW w:w="1950" w:type="pct"/>
                  <w:vAlign w:val="top"/>
                </w:tcPr>
                <w:p>
                  <w:r>
                    <w:t xml:space="preserve">Acute ischaemic heart disease, unspecified</w:t>
                  </w:r>
                </w:p>
              </w:tc>
              <w:tc>
                <w:tcPr>
                  <w:tcW w:w="2450" w:type="pct"/>
                  <w:vAlign w:val="top"/>
                </w:tcPr>
                <w:p>
                  <w:r>
                    <w:t xml:space="preserve">As principal diagnosis.</w:t>
                  </w:r>
                </w:p>
                <w:p>
                  <w:r>
                    <w:t xml:space="preserve">Exclude cases according to the list of procedures excluded from the Congestive cardiac failure category above.</w:t>
                  </w:r>
                </w:p>
              </w:tc>
            </w:tr>
            <w:tr>
              <w:trPr/>
              <w:tc>
                <w:tcPr>
                  <w:tcW w:w="250" w:type="pct"/>
                  <w:vAlign w:val="top"/>
                </w:tcPr>
                <w:p>
                  <w:r>
                    <w:t xml:space="preserve">Iron deficiency anaemia</w:t>
                  </w:r>
                </w:p>
              </w:tc>
              <w:tc>
                <w:tcPr>
                  <w:tcW w:w="200" w:type="pct"/>
                  <w:vAlign w:val="top"/>
                </w:tcPr>
                <w:p>
                  <w:r>
                    <w:t xml:space="preserve">D50.1</w:t>
                  </w:r>
                </w:p>
              </w:tc>
              <w:tc>
                <w:tcPr>
                  <w:tcW w:w="1950" w:type="pct"/>
                  <w:vAlign w:val="top"/>
                </w:tcPr>
                <w:p>
                  <w:r>
                    <w:t xml:space="preserve">Sideropenic dysphagia</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D50.8</w:t>
                  </w:r>
                </w:p>
              </w:tc>
              <w:tc>
                <w:tcPr>
                  <w:tcW w:w="1950" w:type="pct"/>
                  <w:vAlign w:val="top"/>
                </w:tcPr>
                <w:p>
                  <w:r>
                    <w:t xml:space="preserve">Other iron deficiency anaemias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D50.9</w:t>
                  </w:r>
                </w:p>
              </w:tc>
              <w:tc>
                <w:tcPr>
                  <w:tcW w:w="1950" w:type="pct"/>
                  <w:vAlign w:val="top"/>
                </w:tcPr>
                <w:p>
                  <w:r>
                    <w:t xml:space="preserve">Iron deficiency anaemia, unspecified</w:t>
                  </w:r>
                </w:p>
              </w:tc>
              <w:tc>
                <w:tcPr>
                  <w:tcW w:w="2450" w:type="pct"/>
                  <w:vAlign w:val="top"/>
                </w:tcPr>
                <w:p>
                  <w:r>
                    <w:t xml:space="preserve">As principal diagnosis.</w:t>
                  </w:r>
                </w:p>
              </w:tc>
            </w:tr>
            <w:tr>
              <w:trPr/>
              <w:tc>
                <w:tcPr>
                  <w:tcW w:w="250" w:type="pct"/>
                  <w:vAlign w:val="top"/>
                </w:tcPr>
                <w:p>
                  <w:r>
                    <w:t xml:space="preserve">Hypertension</w:t>
                  </w:r>
                </w:p>
              </w:tc>
              <w:tc>
                <w:tcPr>
                  <w:tcW w:w="200" w:type="pct"/>
                  <w:vAlign w:val="top"/>
                </w:tcPr>
                <w:p>
                  <w:r>
                    <w:t xml:space="preserve">I10</w:t>
                  </w:r>
                </w:p>
              </w:tc>
              <w:tc>
                <w:tcPr>
                  <w:tcW w:w="1950" w:type="pct"/>
                  <w:vAlign w:val="top"/>
                </w:tcPr>
                <w:p>
                  <w:r>
                    <w:t xml:space="preserve">Essential (primary) hypertension</w:t>
                  </w:r>
                </w:p>
              </w:tc>
              <w:tc>
                <w:tcPr>
                  <w:tcW w:w="2450" w:type="pct"/>
                  <w:vAlign w:val="top"/>
                </w:tcPr>
                <w:p>
                  <w:r>
                    <w:t xml:space="preserve">As principal diagnosis.</w:t>
                  </w:r>
                </w:p>
                <w:p>
                  <w:r>
                    <w:t xml:space="preserve">Exclude cases with procedure codes according to the list of procedures excluded from the Congestive cardiac failure category above.</w:t>
                  </w:r>
                </w:p>
              </w:tc>
            </w:tr>
            <w:tr>
              <w:trPr/>
              <w:tc>
                <w:tcPr>
                  <w:tcW w:w="250" w:type="pct"/>
                  <w:vAlign w:val="top"/>
                </w:tcPr>
                <w:p>
                  <w:r>
                    <w:t xml:space="preserve"> </w:t>
                  </w:r>
                </w:p>
              </w:tc>
              <w:tc>
                <w:tcPr>
                  <w:tcW w:w="200" w:type="pct"/>
                  <w:vAlign w:val="top"/>
                </w:tcPr>
                <w:p>
                  <w:r>
                    <w:t xml:space="preserve">I11.9</w:t>
                  </w:r>
                </w:p>
              </w:tc>
              <w:tc>
                <w:tcPr>
                  <w:tcW w:w="1950" w:type="pct"/>
                  <w:vAlign w:val="top"/>
                </w:tcPr>
                <w:p>
                  <w:r>
                    <w:t xml:space="preserve">Hypertensive heart disease without (congestive) heart failure</w:t>
                  </w:r>
                </w:p>
              </w:tc>
              <w:tc>
                <w:tcPr>
                  <w:tcW w:w="2450" w:type="pct"/>
                  <w:vAlign w:val="top"/>
                </w:tcPr>
                <w:p>
                  <w:r>
                    <w:t xml:space="preserve">As principal diagnosis.</w:t>
                  </w:r>
                </w:p>
                <w:p>
                  <w:r>
                    <w:t xml:space="preserve">Exclude cases with procedure codes according to the list of procedures excluded from the Congestive cardiac failure category above.</w:t>
                  </w:r>
                </w:p>
              </w:tc>
            </w:tr>
            <w:tr>
              <w:trPr/>
              <w:tc>
                <w:tcPr>
                  <w:tcW w:w="250" w:type="pct"/>
                  <w:vAlign w:val="top"/>
                </w:tcPr>
                <w:p>
                  <w:r>
                    <w:t xml:space="preserve">Nutritional deficiencies</w:t>
                  </w:r>
                </w:p>
              </w:tc>
              <w:tc>
                <w:tcPr>
                  <w:tcW w:w="200" w:type="pct"/>
                  <w:vAlign w:val="top"/>
                </w:tcPr>
                <w:p>
                  <w:r>
                    <w:t xml:space="preserve">E40</w:t>
                  </w:r>
                </w:p>
              </w:tc>
              <w:tc>
                <w:tcPr>
                  <w:tcW w:w="1950" w:type="pct"/>
                  <w:vAlign w:val="top"/>
                </w:tcPr>
                <w:p>
                  <w:r>
                    <w:t xml:space="preserve">Kwashiorkor</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E41</w:t>
                  </w:r>
                </w:p>
              </w:tc>
              <w:tc>
                <w:tcPr>
                  <w:tcW w:w="1950" w:type="pct"/>
                  <w:vAlign w:val="top"/>
                </w:tcPr>
                <w:p>
                  <w:r>
                    <w:t xml:space="preserve">Nutritional marasmus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E42</w:t>
                  </w:r>
                </w:p>
              </w:tc>
              <w:tc>
                <w:tcPr>
                  <w:tcW w:w="1950" w:type="pct"/>
                  <w:vAlign w:val="top"/>
                </w:tcPr>
                <w:p>
                  <w:r>
                    <w:t xml:space="preserve">Marasmic kwashiorkor</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E43</w:t>
                  </w:r>
                </w:p>
              </w:tc>
              <w:tc>
                <w:tcPr>
                  <w:tcW w:w="1950" w:type="pct"/>
                  <w:vAlign w:val="top"/>
                </w:tcPr>
                <w:p>
                  <w:r>
                    <w:t xml:space="preserve">Unspecified severe protein-energy malnutrition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E55.0</w:t>
                  </w:r>
                </w:p>
              </w:tc>
              <w:tc>
                <w:tcPr>
                  <w:tcW w:w="1950" w:type="pct"/>
                  <w:vAlign w:val="top"/>
                </w:tcPr>
                <w:p>
                  <w:r>
                    <w:t xml:space="preserve">Rickets, active</w:t>
                  </w:r>
                </w:p>
              </w:tc>
              <w:tc>
                <w:tcPr>
                  <w:tcW w:w="2450" w:type="pct"/>
                  <w:vAlign w:val="top"/>
                </w:tcPr>
                <w:p>
                  <w:r>
                    <w:t xml:space="preserve">As principal diagnosis.</w:t>
                  </w:r>
                </w:p>
              </w:tc>
            </w:tr>
            <w:tr>
              <w:trPr/>
              <w:tc>
                <w:tcPr>
                  <w:tcW w:w="250" w:type="pct"/>
                  <w:vAlign w:val="top"/>
                </w:tcPr>
                <w:p>
                  <w:r>
                    <w:t xml:space="preserve">Rheumatic heart diseases</w:t>
                  </w:r>
                </w:p>
              </w:tc>
              <w:tc>
                <w:tcPr>
                  <w:tcW w:w="200" w:type="pct"/>
                  <w:vAlign w:val="top"/>
                </w:tcPr>
                <w:p>
                  <w:r>
                    <w:t xml:space="preserve">I00</w:t>
                  </w:r>
                </w:p>
              </w:tc>
              <w:tc>
                <w:tcPr>
                  <w:tcW w:w="1950" w:type="pct"/>
                  <w:vAlign w:val="top"/>
                </w:tcPr>
                <w:p>
                  <w:r>
                    <w:t xml:space="preserve">Rheumatic fever without mention of heart involvement</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I01</w:t>
                  </w:r>
                </w:p>
              </w:tc>
              <w:tc>
                <w:tcPr>
                  <w:tcW w:w="1950" w:type="pct"/>
                  <w:vAlign w:val="top"/>
                </w:tcPr>
                <w:p>
                  <w:r>
                    <w:t xml:space="preserve">Rheumatic fever with heart involvement</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I02</w:t>
                  </w:r>
                </w:p>
              </w:tc>
              <w:tc>
                <w:tcPr>
                  <w:tcW w:w="1950" w:type="pct"/>
                  <w:vAlign w:val="top"/>
                </w:tcPr>
                <w:p>
                  <w:r>
                    <w:t xml:space="preserve">Rheumatic chorea</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I05</w:t>
                  </w:r>
                </w:p>
              </w:tc>
              <w:tc>
                <w:tcPr>
                  <w:tcW w:w="1950" w:type="pct"/>
                  <w:vAlign w:val="top"/>
                </w:tcPr>
                <w:p>
                  <w:r>
                    <w:t xml:space="preserve">Rheumatic mitral valve diseases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I06</w:t>
                  </w:r>
                </w:p>
              </w:tc>
              <w:tc>
                <w:tcPr>
                  <w:tcW w:w="1950" w:type="pct"/>
                  <w:vAlign w:val="top"/>
                </w:tcPr>
                <w:p>
                  <w:r>
                    <w:t xml:space="preserve">Rheumatic aortic valve diseases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I07</w:t>
                  </w:r>
                </w:p>
              </w:tc>
              <w:tc>
                <w:tcPr>
                  <w:tcW w:w="1950" w:type="pct"/>
                  <w:vAlign w:val="top"/>
                </w:tcPr>
                <w:p>
                  <w:r>
                    <w:t xml:space="preserve">Rheumatic tricuspid valve diseases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I08</w:t>
                  </w:r>
                </w:p>
              </w:tc>
              <w:tc>
                <w:tcPr>
                  <w:tcW w:w="1950" w:type="pct"/>
                  <w:vAlign w:val="top"/>
                </w:tcPr>
                <w:p>
                  <w:r>
                    <w:t xml:space="preserve">Multiple valve diseases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I09</w:t>
                  </w:r>
                </w:p>
              </w:tc>
              <w:tc>
                <w:tcPr>
                  <w:tcW w:w="1950" w:type="pct"/>
                  <w:vAlign w:val="top"/>
                </w:tcPr>
                <w:p>
                  <w:r>
                    <w:t xml:space="preserve">Other rheumatic heart diseases</w:t>
                  </w:r>
                </w:p>
              </w:tc>
              <w:tc>
                <w:tcPr>
                  <w:tcW w:w="2450" w:type="pct"/>
                  <w:vAlign w:val="top"/>
                </w:tcPr>
                <w:p>
                  <w:r>
                    <w:t xml:space="preserve">As principal diagnosis.</w:t>
                  </w:r>
                </w:p>
              </w:tc>
            </w:tr>
            <w:tr>
              <w:trPr/>
              <w:tc>
                <w:tcPr>
                  <w:tcW w:w="250" w:type="pct"/>
                  <w:vAlign w:val="top"/>
                </w:tcPr>
                <w:p>
                  <w:r>
                    <w:rPr>
                      <w:b/>
                    </w:rPr>
                    <w:t xml:space="preserve">Acute</w:t>
                  </w:r>
                </w:p>
              </w:tc>
              <w:tc>
                <w:tcPr>
                  <w:tcW w:w="200" w:type="pct"/>
                  <w:vAlign w:val="top"/>
                </w:tcPr>
                <w:p>
                  <w:r>
                    <w:t xml:space="preserve"> </w:t>
                  </w:r>
                </w:p>
              </w:tc>
              <w:tc>
                <w:tcPr>
                  <w:tcW w:w="1950" w:type="pct"/>
                  <w:vAlign w:val="top"/>
                </w:tcPr>
                <w:p>
                  <w:r>
                    <w:t xml:space="preserve"> </w:t>
                  </w:r>
                </w:p>
              </w:tc>
              <w:tc>
                <w:tcPr>
                  <w:tcW w:w="2450" w:type="pct"/>
                  <w:vAlign w:val="top"/>
                </w:tcPr>
                <w:p>
                  <w:r>
                    <w:t xml:space="preserve"> </w:t>
                  </w:r>
                </w:p>
              </w:tc>
            </w:tr>
            <w:tr>
              <w:trPr/>
              <w:tc>
                <w:tcPr>
                  <w:tcW w:w="250" w:type="pct"/>
                  <w:vAlign w:val="top"/>
                </w:tcPr>
                <w:p>
                  <w:r>
                    <w:t xml:space="preserve">Pneumonia (not vaccine-preventable)</w:t>
                  </w:r>
                </w:p>
              </w:tc>
              <w:tc>
                <w:tcPr>
                  <w:tcW w:w="200" w:type="pct"/>
                  <w:vAlign w:val="top"/>
                </w:tcPr>
                <w:p>
                  <w:r>
                    <w:t xml:space="preserve">J15.3</w:t>
                  </w:r>
                </w:p>
              </w:tc>
              <w:tc>
                <w:tcPr>
                  <w:tcW w:w="1950" w:type="pct"/>
                  <w:vAlign w:val="top"/>
                </w:tcPr>
                <w:p>
                  <w:r>
                    <w:t xml:space="preserve">Pneumonia due to streptococcus, group B</w:t>
                  </w:r>
                </w:p>
              </w:tc>
              <w:tc>
                <w:tcPr>
                  <w:tcW w:w="2450" w:type="pct"/>
                  <w:vAlign w:val="top"/>
                </w:tcPr>
                <w:p>
                  <w:r>
                    <w:t xml:space="preserve">In any diagnosis.</w:t>
                  </w:r>
                </w:p>
                <w:p>
                  <w:r>
                    <w:t xml:space="preserve">Exclude people under 2 months.</w:t>
                  </w:r>
                </w:p>
              </w:tc>
            </w:tr>
            <w:tr>
              <w:trPr/>
              <w:tc>
                <w:tcPr>
                  <w:tcW w:w="250" w:type="pct"/>
                  <w:vAlign w:val="top"/>
                </w:tcPr>
                <w:p>
                  <w:r>
                    <w:t xml:space="preserve"> </w:t>
                  </w:r>
                </w:p>
              </w:tc>
              <w:tc>
                <w:tcPr>
                  <w:tcW w:w="200" w:type="pct"/>
                  <w:vAlign w:val="top"/>
                </w:tcPr>
                <w:p>
                  <w:r>
                    <w:t xml:space="preserve">J15.4</w:t>
                  </w:r>
                </w:p>
              </w:tc>
              <w:tc>
                <w:tcPr>
                  <w:tcW w:w="1950" w:type="pct"/>
                  <w:vAlign w:val="top"/>
                </w:tcPr>
                <w:p>
                  <w:r>
                    <w:t xml:space="preserve">Pneumonia due to other streptococci</w:t>
                  </w:r>
                </w:p>
              </w:tc>
              <w:tc>
                <w:tcPr>
                  <w:tcW w:w="2450" w:type="pct"/>
                  <w:vAlign w:val="top"/>
                </w:tcPr>
                <w:p>
                  <w:r>
                    <w:t xml:space="preserve">In any diagnosis.</w:t>
                  </w:r>
                </w:p>
                <w:p>
                  <w:r>
                    <w:t xml:space="preserve">Exclude people under 2 months.</w:t>
                  </w:r>
                </w:p>
              </w:tc>
            </w:tr>
            <w:tr>
              <w:trPr/>
              <w:tc>
                <w:tcPr>
                  <w:tcW w:w="250" w:type="pct"/>
                  <w:vAlign w:val="top"/>
                </w:tcPr>
                <w:p>
                  <w:r>
                    <w:t xml:space="preserve"> </w:t>
                  </w:r>
                </w:p>
              </w:tc>
              <w:tc>
                <w:tcPr>
                  <w:tcW w:w="200" w:type="pct"/>
                  <w:vAlign w:val="top"/>
                </w:tcPr>
                <w:p>
                  <w:r>
                    <w:t xml:space="preserve">J15.7</w:t>
                  </w:r>
                </w:p>
              </w:tc>
              <w:tc>
                <w:tcPr>
                  <w:tcW w:w="1950" w:type="pct"/>
                  <w:vAlign w:val="top"/>
                </w:tcPr>
                <w:p>
                  <w:r>
                    <w:t xml:space="preserve">Pneumonia due to </w:t>
                  </w:r>
                  <w:r>
                    <w:rPr>
                      <w:i/>
                    </w:rPr>
                    <w:t xml:space="preserve">Mycoplasma pneumoniae</w:t>
                  </w:r>
                </w:p>
              </w:tc>
              <w:tc>
                <w:tcPr>
                  <w:tcW w:w="2450" w:type="pct"/>
                  <w:vAlign w:val="top"/>
                </w:tcPr>
                <w:p>
                  <w:r>
                    <w:t xml:space="preserve">In any diagnosis.</w:t>
                  </w:r>
                </w:p>
                <w:p>
                  <w:r>
                    <w:t xml:space="preserve">Exclude people under 2 months.</w:t>
                  </w:r>
                </w:p>
              </w:tc>
            </w:tr>
            <w:tr>
              <w:trPr/>
              <w:tc>
                <w:tcPr>
                  <w:tcW w:w="250" w:type="pct"/>
                  <w:vAlign w:val="top"/>
                </w:tcPr>
                <w:p>
                  <w:r>
                    <w:t xml:space="preserve"> </w:t>
                  </w:r>
                </w:p>
              </w:tc>
              <w:tc>
                <w:tcPr>
                  <w:tcW w:w="200" w:type="pct"/>
                  <w:vAlign w:val="top"/>
                </w:tcPr>
                <w:p>
                  <w:r>
                    <w:t xml:space="preserve">J16.0</w:t>
                  </w:r>
                </w:p>
              </w:tc>
              <w:tc>
                <w:tcPr>
                  <w:tcW w:w="1950" w:type="pct"/>
                  <w:vAlign w:val="top"/>
                </w:tcPr>
                <w:p>
                  <w:r>
                    <w:t xml:space="preserve">Chlamydial pneumonia</w:t>
                  </w:r>
                </w:p>
              </w:tc>
              <w:tc>
                <w:tcPr>
                  <w:tcW w:w="2450" w:type="pct"/>
                  <w:vAlign w:val="top"/>
                </w:tcPr>
                <w:p>
                  <w:r>
                    <w:t xml:space="preserve">In any diagnosis.</w:t>
                  </w:r>
                </w:p>
                <w:p>
                  <w:r>
                    <w:t xml:space="preserve">Exclude people under 2 months.</w:t>
                  </w:r>
                </w:p>
              </w:tc>
            </w:tr>
            <w:tr>
              <w:trPr/>
              <w:tc>
                <w:tcPr>
                  <w:tcW w:w="250" w:type="pct"/>
                  <w:vAlign w:val="top"/>
                </w:tcPr>
                <w:p>
                  <w:r>
                    <w:t xml:space="preserve">Urinary tract infections, including pyelonephritis</w:t>
                  </w:r>
                </w:p>
              </w:tc>
              <w:tc>
                <w:tcPr>
                  <w:tcW w:w="200" w:type="pct"/>
                  <w:vAlign w:val="top"/>
                </w:tcPr>
                <w:p>
                  <w:r>
                    <w:t xml:space="preserve">N10</w:t>
                  </w:r>
                </w:p>
              </w:tc>
              <w:tc>
                <w:tcPr>
                  <w:tcW w:w="1950" w:type="pct"/>
                  <w:vAlign w:val="top"/>
                </w:tcPr>
                <w:p>
                  <w:r>
                    <w:t xml:space="preserve">Acute tubulo-interstitial nephritis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N11</w:t>
                  </w:r>
                </w:p>
              </w:tc>
              <w:tc>
                <w:tcPr>
                  <w:tcW w:w="1950" w:type="pct"/>
                  <w:vAlign w:val="top"/>
                </w:tcPr>
                <w:p>
                  <w:r>
                    <w:t xml:space="preserve">Chronic tubulo-interstitial nephritis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N12</w:t>
                  </w:r>
                </w:p>
              </w:tc>
              <w:tc>
                <w:tcPr>
                  <w:tcW w:w="1950" w:type="pct"/>
                  <w:vAlign w:val="top"/>
                </w:tcPr>
                <w:p>
                  <w:r>
                    <w:t xml:space="preserve">Tubulo-interstitial nephritis, not specified as acute or chronic</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N13.6</w:t>
                  </w:r>
                </w:p>
              </w:tc>
              <w:tc>
                <w:tcPr>
                  <w:tcW w:w="1950" w:type="pct"/>
                  <w:vAlign w:val="top"/>
                </w:tcPr>
                <w:p>
                  <w:r>
                    <w:t xml:space="preserve">Pyonephrosis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N15.1</w:t>
                  </w:r>
                </w:p>
              </w:tc>
              <w:tc>
                <w:tcPr>
                  <w:tcW w:w="1950" w:type="pct"/>
                  <w:vAlign w:val="top"/>
                </w:tcPr>
                <w:p>
                  <w:r>
                    <w:t xml:space="preserve">Renal and perinephric abscess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N15.9</w:t>
                  </w:r>
                </w:p>
              </w:tc>
              <w:tc>
                <w:tcPr>
                  <w:tcW w:w="1950" w:type="pct"/>
                  <w:vAlign w:val="top"/>
                </w:tcPr>
                <w:p>
                  <w:r>
                    <w:t xml:space="preserve">Renal tubulo-interstitial disease, unspecified</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N28.9</w:t>
                  </w:r>
                </w:p>
              </w:tc>
              <w:tc>
                <w:tcPr>
                  <w:tcW w:w="1950" w:type="pct"/>
                  <w:vAlign w:val="top"/>
                </w:tcPr>
                <w:p>
                  <w:r>
                    <w:t xml:space="preserve">Disorder of kidney and ureter, unspecified</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N39.0</w:t>
                  </w:r>
                </w:p>
              </w:tc>
              <w:tc>
                <w:tcPr>
                  <w:tcW w:w="1950" w:type="pct"/>
                  <w:vAlign w:val="top"/>
                </w:tcPr>
                <w:p>
                  <w:r>
                    <w:t xml:space="preserve">Urinary tract infection, site not specified</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N39.9</w:t>
                  </w:r>
                </w:p>
              </w:tc>
              <w:tc>
                <w:tcPr>
                  <w:tcW w:w="1950" w:type="pct"/>
                  <w:vAlign w:val="top"/>
                </w:tcPr>
                <w:p>
                  <w:r>
                    <w:t xml:space="preserve">Disorder of urinary system, unspecified</w:t>
                  </w:r>
                </w:p>
              </w:tc>
              <w:tc>
                <w:tcPr>
                  <w:tcW w:w="2450" w:type="pct"/>
                  <w:vAlign w:val="top"/>
                </w:tcPr>
                <w:p>
                  <w:r>
                    <w:t xml:space="preserve">As principal diagnosis.</w:t>
                  </w:r>
                </w:p>
              </w:tc>
            </w:tr>
            <w:tr>
              <w:trPr/>
              <w:tc>
                <w:tcPr>
                  <w:tcW w:w="250" w:type="pct"/>
                  <w:vAlign w:val="top"/>
                </w:tcPr>
                <w:p>
                  <w:r>
                    <w:t xml:space="preserve">Perforated/bleeding ulcer</w:t>
                  </w:r>
                </w:p>
              </w:tc>
              <w:tc>
                <w:tcPr>
                  <w:tcW w:w="200" w:type="pct"/>
                  <w:vAlign w:val="top"/>
                </w:tcPr>
                <w:p>
                  <w:r>
                    <w:t xml:space="preserve">K25.0</w:t>
                  </w:r>
                </w:p>
              </w:tc>
              <w:tc>
                <w:tcPr>
                  <w:tcW w:w="1950" w:type="pct"/>
                  <w:vAlign w:val="top"/>
                </w:tcPr>
                <w:p>
                  <w:r>
                    <w:t xml:space="preserve">Gastric ulcer, acute with haemorrhage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K25.1</w:t>
                  </w:r>
                </w:p>
              </w:tc>
              <w:tc>
                <w:tcPr>
                  <w:tcW w:w="1950" w:type="pct"/>
                  <w:vAlign w:val="top"/>
                </w:tcPr>
                <w:p>
                  <w:r>
                    <w:t xml:space="preserve">Gastric ulcer, acute with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K25.2</w:t>
                  </w:r>
                </w:p>
              </w:tc>
              <w:tc>
                <w:tcPr>
                  <w:tcW w:w="1950" w:type="pct"/>
                  <w:vAlign w:val="top"/>
                </w:tcPr>
                <w:p>
                  <w:r>
                    <w:t xml:space="preserve">Gastric ulcer, acute with both haemorrhage and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K25.4</w:t>
                  </w:r>
                </w:p>
              </w:tc>
              <w:tc>
                <w:tcPr>
                  <w:tcW w:w="1950" w:type="pct"/>
                  <w:vAlign w:val="top"/>
                </w:tcPr>
                <w:p>
                  <w:r>
                    <w:t xml:space="preserve">Gastric ulcer, chronic or unspecified with haemorrhage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K25.5</w:t>
                  </w:r>
                </w:p>
              </w:tc>
              <w:tc>
                <w:tcPr>
                  <w:tcW w:w="1950" w:type="pct"/>
                  <w:vAlign w:val="top"/>
                </w:tcPr>
                <w:p>
                  <w:r>
                    <w:t xml:space="preserve">Gastric ulcer, chronic or unspecified with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K25.6</w:t>
                  </w:r>
                </w:p>
              </w:tc>
              <w:tc>
                <w:tcPr>
                  <w:tcW w:w="1950" w:type="pct"/>
                  <w:vAlign w:val="top"/>
                </w:tcPr>
                <w:p>
                  <w:r>
                    <w:t xml:space="preserve">Gastric ulcer, chronic or unspecified with both haemorrhage and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K26.0</w:t>
                  </w:r>
                </w:p>
              </w:tc>
              <w:tc>
                <w:tcPr>
                  <w:tcW w:w="1950" w:type="pct"/>
                  <w:vAlign w:val="top"/>
                </w:tcPr>
                <w:p>
                  <w:r>
                    <w:t xml:space="preserve">Duodenal ulcer, acute with haemorrhage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K26.1</w:t>
                  </w:r>
                </w:p>
              </w:tc>
              <w:tc>
                <w:tcPr>
                  <w:tcW w:w="1950" w:type="pct"/>
                  <w:vAlign w:val="top"/>
                </w:tcPr>
                <w:p>
                  <w:r>
                    <w:t xml:space="preserve">Duodenal ulcer, acute with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K26.2</w:t>
                  </w:r>
                </w:p>
              </w:tc>
              <w:tc>
                <w:tcPr>
                  <w:tcW w:w="1950" w:type="pct"/>
                  <w:vAlign w:val="top"/>
                </w:tcPr>
                <w:p>
                  <w:r>
                    <w:t xml:space="preserve">Duodenal ulcer, acute with both haemorrhage and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K26.4</w:t>
                  </w:r>
                </w:p>
              </w:tc>
              <w:tc>
                <w:tcPr>
                  <w:tcW w:w="1950" w:type="pct"/>
                  <w:vAlign w:val="top"/>
                </w:tcPr>
                <w:p>
                  <w:r>
                    <w:t xml:space="preserve">Duodenal ulcer, chronic or unspecified with haemorrhage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K26.5</w:t>
                  </w:r>
                </w:p>
              </w:tc>
              <w:tc>
                <w:tcPr>
                  <w:tcW w:w="1950" w:type="pct"/>
                  <w:vAlign w:val="top"/>
                </w:tcPr>
                <w:p>
                  <w:r>
                    <w:t xml:space="preserve">Duodenal ulcer, chronic or unspecified with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K26.6</w:t>
                  </w:r>
                </w:p>
              </w:tc>
              <w:tc>
                <w:tcPr>
                  <w:tcW w:w="1950" w:type="pct"/>
                  <w:vAlign w:val="top"/>
                </w:tcPr>
                <w:p>
                  <w:r>
                    <w:t xml:space="preserve">Duodenal ulcer, chronic or unspecified with both haemorrhage and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K27.0</w:t>
                  </w:r>
                </w:p>
              </w:tc>
              <w:tc>
                <w:tcPr>
                  <w:tcW w:w="1950" w:type="pct"/>
                  <w:vAlign w:val="top"/>
                </w:tcPr>
                <w:p>
                  <w:r>
                    <w:t xml:space="preserve">Peptic ulcer, site unspecified, acute with haemorrhage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K27.1</w:t>
                  </w:r>
                </w:p>
              </w:tc>
              <w:tc>
                <w:tcPr>
                  <w:tcW w:w="1950" w:type="pct"/>
                  <w:vAlign w:val="top"/>
                </w:tcPr>
                <w:p>
                  <w:r>
                    <w:t xml:space="preserve">Peptic ulcer, site unspecified, acute with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K27.2</w:t>
                  </w:r>
                </w:p>
              </w:tc>
              <w:tc>
                <w:tcPr>
                  <w:tcW w:w="1950" w:type="pct"/>
                  <w:vAlign w:val="top"/>
                </w:tcPr>
                <w:p>
                  <w:r>
                    <w:t xml:space="preserve">Peptic ulcer, site unspecified, acute with both haemorrhage and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K27.4</w:t>
                  </w:r>
                </w:p>
              </w:tc>
              <w:tc>
                <w:tcPr>
                  <w:tcW w:w="1950" w:type="pct"/>
                  <w:vAlign w:val="top"/>
                </w:tcPr>
                <w:p>
                  <w:r>
                    <w:t xml:space="preserve">Peptic ulcer, site unspecified, chronic or unspecified with haemorrhage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K27.5</w:t>
                  </w:r>
                </w:p>
              </w:tc>
              <w:tc>
                <w:tcPr>
                  <w:tcW w:w="1950" w:type="pct"/>
                  <w:vAlign w:val="top"/>
                </w:tcPr>
                <w:p>
                  <w:r>
                    <w:t xml:space="preserve">Peptic ulcer, site unspecified, chronic or unspecified with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K27.6</w:t>
                  </w:r>
                </w:p>
              </w:tc>
              <w:tc>
                <w:tcPr>
                  <w:tcW w:w="1950" w:type="pct"/>
                  <w:vAlign w:val="top"/>
                </w:tcPr>
                <w:p>
                  <w:r>
                    <w:t xml:space="preserve">Peptic ulcer, site unspecified, chronic or unspecified with both haemorrhage and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K28.0</w:t>
                  </w:r>
                </w:p>
              </w:tc>
              <w:tc>
                <w:tcPr>
                  <w:tcW w:w="1950" w:type="pct"/>
                  <w:vAlign w:val="top"/>
                </w:tcPr>
                <w:p>
                  <w:r>
                    <w:t xml:space="preserve">Gastrojejunal ulcer, acute with haemorrhage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K28.1</w:t>
                  </w:r>
                </w:p>
              </w:tc>
              <w:tc>
                <w:tcPr>
                  <w:tcW w:w="1950" w:type="pct"/>
                  <w:vAlign w:val="top"/>
                </w:tcPr>
                <w:p>
                  <w:r>
                    <w:t xml:space="preserve">Gastrojejunal ulcer, acute with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K28.2</w:t>
                  </w:r>
                </w:p>
              </w:tc>
              <w:tc>
                <w:tcPr>
                  <w:tcW w:w="1950" w:type="pct"/>
                  <w:vAlign w:val="top"/>
                </w:tcPr>
                <w:p>
                  <w:r>
                    <w:t xml:space="preserve">Gastrojejunal ulcer, acute with both haemorrhage and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K28.4</w:t>
                  </w:r>
                </w:p>
              </w:tc>
              <w:tc>
                <w:tcPr>
                  <w:tcW w:w="1950" w:type="pct"/>
                  <w:vAlign w:val="top"/>
                </w:tcPr>
                <w:p>
                  <w:r>
                    <w:t xml:space="preserve">Gastrojejunal ulcer, chronic or unspecified with haemorrhage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K28.5</w:t>
                  </w:r>
                </w:p>
              </w:tc>
              <w:tc>
                <w:tcPr>
                  <w:tcW w:w="1950" w:type="pct"/>
                  <w:vAlign w:val="top"/>
                </w:tcPr>
                <w:p>
                  <w:r>
                    <w:t xml:space="preserve">Gastrojejunal ulcer, chronic or unspecified with perforation</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K28.6</w:t>
                  </w:r>
                </w:p>
              </w:tc>
              <w:tc>
                <w:tcPr>
                  <w:tcW w:w="1950" w:type="pct"/>
                  <w:vAlign w:val="top"/>
                </w:tcPr>
                <w:p>
                  <w:r>
                    <w:t xml:space="preserve">Gastrojejunal ulcer, chronic or unspecified with both haemorrhage and perforation</w:t>
                  </w:r>
                </w:p>
              </w:tc>
              <w:tc>
                <w:tcPr>
                  <w:tcW w:w="2450" w:type="pct"/>
                  <w:vAlign w:val="top"/>
                </w:tcPr>
                <w:p>
                  <w:r>
                    <w:t xml:space="preserve">As principal diagnosis.</w:t>
                  </w:r>
                </w:p>
              </w:tc>
            </w:tr>
            <w:tr>
              <w:trPr/>
              <w:tc>
                <w:tcPr>
                  <w:tcW w:w="250" w:type="pct"/>
                  <w:vAlign w:val="top"/>
                </w:tcPr>
                <w:p>
                  <w:r>
                    <w:t xml:space="preserve">Cellulitis</w:t>
                  </w:r>
                </w:p>
              </w:tc>
              <w:tc>
                <w:tcPr>
                  <w:tcW w:w="200" w:type="pct"/>
                  <w:vAlign w:val="top"/>
                </w:tcPr>
                <w:p>
                  <w:r>
                    <w:t xml:space="preserve">L02</w:t>
                  </w:r>
                </w:p>
              </w:tc>
              <w:tc>
                <w:tcPr>
                  <w:tcW w:w="1950" w:type="pct"/>
                  <w:vAlign w:val="top"/>
                </w:tcPr>
                <w:p>
                  <w:r>
                    <w:t xml:space="preserve">Cutaneous abscess, furuncle and carbuncle</w:t>
                  </w:r>
                </w:p>
              </w:tc>
              <w:tc>
                <w:tcPr>
                  <w:tcW w:w="2450" w:type="pct"/>
                  <w:vAlign w:val="top"/>
                </w:tcPr>
                <w:p>
                  <w:r>
                    <w:t xml:space="preserve">As principal diagnosis.</w:t>
                  </w:r>
                </w:p>
                <w:p>
                  <w:r>
                    <w:t xml:space="preserve">Exclude cases with any procedure except those in blocks [1820] to [2016], or if procedure is 30216-00[1604], 30216-01[1604], 30216-02[1604], 30676-00[1659], 30223-01[1606], 30223-02[1606], 30064-00[1605], 90660-00[1602], 90661-00[1608], and this is the only listed procedure.</w:t>
                  </w:r>
                </w:p>
              </w:tc>
            </w:tr>
            <w:tr>
              <w:trPr/>
              <w:tc>
                <w:tcPr>
                  <w:tcW w:w="250" w:type="pct"/>
                  <w:vAlign w:val="top"/>
                </w:tcPr>
                <w:p>
                  <w:r>
                    <w:t xml:space="preserve"> </w:t>
                  </w:r>
                </w:p>
              </w:tc>
              <w:tc>
                <w:tcPr>
                  <w:tcW w:w="200" w:type="pct"/>
                  <w:vAlign w:val="top"/>
                </w:tcPr>
                <w:p>
                  <w:r>
                    <w:t xml:space="preserve">L03</w:t>
                  </w:r>
                </w:p>
              </w:tc>
              <w:tc>
                <w:tcPr>
                  <w:tcW w:w="1950" w:type="pct"/>
                  <w:vAlign w:val="top"/>
                </w:tcPr>
                <w:p>
                  <w:r>
                    <w:t xml:space="preserve">Cellulitis</w:t>
                  </w:r>
                </w:p>
              </w:tc>
              <w:tc>
                <w:tcPr>
                  <w:tcW w:w="2450" w:type="pct"/>
                  <w:vAlign w:val="top"/>
                </w:tcPr>
                <w:p>
                  <w:r>
                    <w:t xml:space="preserve">As principal diagnosis.</w:t>
                  </w:r>
                </w:p>
                <w:p>
                  <w:r>
                    <w:t xml:space="preserve">Exclude cases with any procedure except those in blocks [1820] to [2016], or if procedure is 30216-00[1604], 30216-01[1604], 30216-02[1604], 30676-00[1659], 30223-01[1606], 30223-02[1606], 30064-00[1605], 90660-00[1602], 90661-00[1608], and this is the only listed procedure.</w:t>
                  </w:r>
                </w:p>
              </w:tc>
            </w:tr>
            <w:tr>
              <w:trPr/>
              <w:tc>
                <w:tcPr>
                  <w:tcW w:w="250" w:type="pct"/>
                  <w:vAlign w:val="top"/>
                </w:tcPr>
                <w:p>
                  <w:r>
                    <w:t xml:space="preserve"> </w:t>
                  </w:r>
                </w:p>
              </w:tc>
              <w:tc>
                <w:tcPr>
                  <w:tcW w:w="200" w:type="pct"/>
                  <w:vAlign w:val="top"/>
                </w:tcPr>
                <w:p>
                  <w:r>
                    <w:t xml:space="preserve">L04</w:t>
                  </w:r>
                </w:p>
              </w:tc>
              <w:tc>
                <w:tcPr>
                  <w:tcW w:w="1950" w:type="pct"/>
                  <w:vAlign w:val="top"/>
                </w:tcPr>
                <w:p>
                  <w:r>
                    <w:t xml:space="preserve">Acute lymphadenitis</w:t>
                  </w:r>
                </w:p>
              </w:tc>
              <w:tc>
                <w:tcPr>
                  <w:tcW w:w="2450" w:type="pct"/>
                  <w:vAlign w:val="top"/>
                </w:tcPr>
                <w:p>
                  <w:r>
                    <w:t xml:space="preserve">As principal diagnosis.</w:t>
                  </w:r>
                </w:p>
                <w:p>
                  <w:r>
                    <w:t xml:space="preserve">Exclude cases with any procedure except those in blocks [1820] to [2016], or if procedure is 30216-00[1604], 30216-01[1604], 30216-02[1604], 30676-00[1659], 30223-01[1606], 30223-02[1606], 30064-00[1605], 90660-00[1602], 90661-00[1608], and this is the only listed procedure.</w:t>
                  </w:r>
                </w:p>
              </w:tc>
            </w:tr>
            <w:tr>
              <w:trPr/>
              <w:tc>
                <w:tcPr>
                  <w:tcW w:w="250" w:type="pct"/>
                  <w:vAlign w:val="top"/>
                </w:tcPr>
                <w:p>
                  <w:r>
                    <w:t xml:space="preserve"> </w:t>
                  </w:r>
                </w:p>
              </w:tc>
              <w:tc>
                <w:tcPr>
                  <w:tcW w:w="200" w:type="pct"/>
                  <w:vAlign w:val="top"/>
                </w:tcPr>
                <w:p>
                  <w:r>
                    <w:t xml:space="preserve">L08</w:t>
                  </w:r>
                </w:p>
              </w:tc>
              <w:tc>
                <w:tcPr>
                  <w:tcW w:w="1950" w:type="pct"/>
                  <w:vAlign w:val="top"/>
                </w:tcPr>
                <w:p>
                  <w:r>
                    <w:t xml:space="preserve">Other local infections of skin and subcutaneous tissue</w:t>
                  </w:r>
                </w:p>
              </w:tc>
              <w:tc>
                <w:tcPr>
                  <w:tcW w:w="2450" w:type="pct"/>
                  <w:vAlign w:val="top"/>
                </w:tcPr>
                <w:p>
                  <w:r>
                    <w:t xml:space="preserve">As principal diagnosis.</w:t>
                  </w:r>
                </w:p>
                <w:p>
                  <w:r>
                    <w:t xml:space="preserve">Exclude cases with any procedure except those in blocks [1820] to [2016], or if procedure is 30216-00[1604], 30216-01[1604], 30216-02[1604], 30676-00[1659], 30223-01[1606], 30223-02[1606], 30064-00[1605], 90660-00[1602], 90661-00[1608], and this is the only listed procedure.</w:t>
                  </w:r>
                </w:p>
              </w:tc>
            </w:tr>
            <w:tr>
              <w:trPr/>
              <w:tc>
                <w:tcPr>
                  <w:tcW w:w="250" w:type="pct"/>
                  <w:vAlign w:val="top"/>
                </w:tcPr>
                <w:p>
                  <w:r>
                    <w:t xml:space="preserve"> </w:t>
                  </w:r>
                </w:p>
              </w:tc>
              <w:tc>
                <w:tcPr>
                  <w:tcW w:w="200" w:type="pct"/>
                  <w:vAlign w:val="top"/>
                </w:tcPr>
                <w:p>
                  <w:r>
                    <w:t xml:space="preserve">L88</w:t>
                  </w:r>
                </w:p>
              </w:tc>
              <w:tc>
                <w:tcPr>
                  <w:tcW w:w="1950" w:type="pct"/>
                  <w:vAlign w:val="top"/>
                </w:tcPr>
                <w:p>
                  <w:r>
                    <w:t xml:space="preserve">Pyoderma gangrenosum</w:t>
                  </w:r>
                </w:p>
              </w:tc>
              <w:tc>
                <w:tcPr>
                  <w:tcW w:w="2450" w:type="pct"/>
                  <w:vAlign w:val="top"/>
                </w:tcPr>
                <w:p>
                  <w:r>
                    <w:t xml:space="preserve">As principal diagnosis.</w:t>
                  </w:r>
                </w:p>
                <w:p>
                  <w:r>
                    <w:t xml:space="preserve">Exclude cases with any procedure except those in blocks [1820] to [2016], or if procedure is 30216-00[1604], 30216-01[1604], 30216-02[1604], 30676-00[1659], 30223-01[1606], 30223-02[1606], 30064-00[1605], 90660-00[1602], 90661-00[1608], and this is the only listed procedure.</w:t>
                  </w:r>
                </w:p>
              </w:tc>
            </w:tr>
            <w:tr>
              <w:trPr/>
              <w:tc>
                <w:tcPr>
                  <w:tcW w:w="250" w:type="pct"/>
                  <w:vAlign w:val="top"/>
                </w:tcPr>
                <w:p>
                  <w:r>
                    <w:t xml:space="preserve"> </w:t>
                  </w:r>
                </w:p>
              </w:tc>
              <w:tc>
                <w:tcPr>
                  <w:tcW w:w="200" w:type="pct"/>
                  <w:vAlign w:val="top"/>
                </w:tcPr>
                <w:p>
                  <w:r>
                    <w:t xml:space="preserve">L98.0</w:t>
                  </w:r>
                </w:p>
              </w:tc>
              <w:tc>
                <w:tcPr>
                  <w:tcW w:w="1950" w:type="pct"/>
                  <w:vAlign w:val="top"/>
                </w:tcPr>
                <w:p>
                  <w:r>
                    <w:t xml:space="preserve">Pyogenic granuloma</w:t>
                  </w:r>
                </w:p>
              </w:tc>
              <w:tc>
                <w:tcPr>
                  <w:tcW w:w="2450" w:type="pct"/>
                  <w:vAlign w:val="top"/>
                </w:tcPr>
                <w:p>
                  <w:r>
                    <w:t xml:space="preserve">As principal diagnosis.</w:t>
                  </w:r>
                </w:p>
                <w:p>
                  <w:r>
                    <w:t xml:space="preserve">Exclude cases with any procedure except those in blocks [1820] to [2016], or if procedure is 30216-00[1604], 30216-01[1604], 30216-02[1604], 30676-00[1659], 30223-01[1606], 30223-02[1606], 30064-00[1605], 90660-00[1602], 90661-00[1608], and this is the only listed procedure.</w:t>
                  </w:r>
                </w:p>
              </w:tc>
            </w:tr>
            <w:tr>
              <w:trPr/>
              <w:tc>
                <w:tcPr>
                  <w:tcW w:w="250" w:type="pct"/>
                  <w:vAlign w:val="top"/>
                </w:tcPr>
                <w:p>
                  <w:r>
                    <w:t xml:space="preserve"> </w:t>
                  </w:r>
                </w:p>
              </w:tc>
              <w:tc>
                <w:tcPr>
                  <w:tcW w:w="200" w:type="pct"/>
                  <w:vAlign w:val="top"/>
                </w:tcPr>
                <w:p>
                  <w:r>
                    <w:t xml:space="preserve">L98.3</w:t>
                  </w:r>
                </w:p>
              </w:tc>
              <w:tc>
                <w:tcPr>
                  <w:tcW w:w="1950" w:type="pct"/>
                  <w:vAlign w:val="top"/>
                </w:tcPr>
                <w:p>
                  <w:r>
                    <w:t xml:space="preserve">Eosinophilic cellulitis [Wells]</w:t>
                  </w:r>
                </w:p>
              </w:tc>
              <w:tc>
                <w:tcPr>
                  <w:tcW w:w="2450" w:type="pct"/>
                  <w:vAlign w:val="top"/>
                </w:tcPr>
                <w:p>
                  <w:r>
                    <w:t xml:space="preserve">As principal diagnosis.</w:t>
                  </w:r>
                </w:p>
                <w:p>
                  <w:r>
                    <w:t xml:space="preserve">Exclude cases with any procedure except those in blocks [1820] to [2016], or if procedure is 30216-00[1604], 30216-01[1604], 30216-02[1604], 30676-00[1659], 30223-01[1606], 30223-02[1606], 30064-00[1605], 90660-00[1602], 90661-00[1608], and this is the only listed procedure.</w:t>
                  </w:r>
                </w:p>
              </w:tc>
            </w:tr>
            <w:tr>
              <w:trPr/>
              <w:tc>
                <w:tcPr>
                  <w:tcW w:w="250" w:type="pct"/>
                  <w:vAlign w:val="top"/>
                </w:tcPr>
                <w:p>
                  <w:r>
                    <w:t xml:space="preserve">Pelvic inflammatory disease</w:t>
                  </w:r>
                </w:p>
              </w:tc>
              <w:tc>
                <w:tcPr>
                  <w:tcW w:w="200" w:type="pct"/>
                  <w:vAlign w:val="top"/>
                </w:tcPr>
                <w:p>
                  <w:r>
                    <w:t xml:space="preserve">N70</w:t>
                  </w:r>
                </w:p>
              </w:tc>
              <w:tc>
                <w:tcPr>
                  <w:tcW w:w="1950" w:type="pct"/>
                  <w:vAlign w:val="top"/>
                </w:tcPr>
                <w:p>
                  <w:r>
                    <w:t xml:space="preserve">Salpingitis and oophoritis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N73</w:t>
                  </w:r>
                </w:p>
              </w:tc>
              <w:tc>
                <w:tcPr>
                  <w:tcW w:w="1950" w:type="pct"/>
                  <w:vAlign w:val="top"/>
                </w:tcPr>
                <w:p>
                  <w:r>
                    <w:t xml:space="preserve">Other female pelvic inflammatory diseases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N74</w:t>
                  </w:r>
                </w:p>
              </w:tc>
              <w:tc>
                <w:tcPr>
                  <w:tcW w:w="1950" w:type="pct"/>
                  <w:vAlign w:val="top"/>
                </w:tcPr>
                <w:p>
                  <w:r>
                    <w:t xml:space="preserve">Female pelvic inflammatory disorders in diseases classified elsewhere</w:t>
                  </w:r>
                </w:p>
              </w:tc>
              <w:tc>
                <w:tcPr>
                  <w:tcW w:w="2450" w:type="pct"/>
                  <w:vAlign w:val="top"/>
                </w:tcPr>
                <w:p>
                  <w:r>
                    <w:t xml:space="preserve">As principal diagnosis.</w:t>
                  </w:r>
                </w:p>
              </w:tc>
            </w:tr>
            <w:tr>
              <w:trPr/>
              <w:tc>
                <w:tcPr>
                  <w:tcW w:w="250" w:type="pct"/>
                  <w:vAlign w:val="top"/>
                </w:tcPr>
                <w:p>
                  <w:r>
                    <w:t xml:space="preserve">Ear, nose and throat infections</w:t>
                  </w:r>
                </w:p>
              </w:tc>
              <w:tc>
                <w:tcPr>
                  <w:tcW w:w="200" w:type="pct"/>
                  <w:vAlign w:val="top"/>
                </w:tcPr>
                <w:p>
                  <w:r>
                    <w:t xml:space="preserve">H66</w:t>
                  </w:r>
                </w:p>
              </w:tc>
              <w:tc>
                <w:tcPr>
                  <w:tcW w:w="1950" w:type="pct"/>
                  <w:vAlign w:val="top"/>
                </w:tcPr>
                <w:p>
                  <w:r>
                    <w:t xml:space="preserve">Suppurative and unspecified otitis media</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J02</w:t>
                  </w:r>
                </w:p>
              </w:tc>
              <w:tc>
                <w:tcPr>
                  <w:tcW w:w="1950" w:type="pct"/>
                  <w:vAlign w:val="top"/>
                </w:tcPr>
                <w:p>
                  <w:r>
                    <w:t xml:space="preserve">Acute pharyngitis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J03</w:t>
                  </w:r>
                </w:p>
              </w:tc>
              <w:tc>
                <w:tcPr>
                  <w:tcW w:w="1950" w:type="pct"/>
                  <w:vAlign w:val="top"/>
                </w:tcPr>
                <w:p>
                  <w:r>
                    <w:t xml:space="preserve">Acute tonsillitis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J06</w:t>
                  </w:r>
                </w:p>
              </w:tc>
              <w:tc>
                <w:tcPr>
                  <w:tcW w:w="1950" w:type="pct"/>
                  <w:vAlign w:val="top"/>
                </w:tcPr>
                <w:p>
                  <w:r>
                    <w:t xml:space="preserve">Acute upper respiratory infections of multiple and unspecified sites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J31.2</w:t>
                  </w:r>
                </w:p>
              </w:tc>
              <w:tc>
                <w:tcPr>
                  <w:tcW w:w="1950" w:type="pct"/>
                  <w:vAlign w:val="top"/>
                </w:tcPr>
                <w:p>
                  <w:r>
                    <w:t xml:space="preserve">Chronic pharyngitis</w:t>
                  </w:r>
                </w:p>
              </w:tc>
              <w:tc>
                <w:tcPr>
                  <w:tcW w:w="2450" w:type="pct"/>
                  <w:vAlign w:val="top"/>
                </w:tcPr>
                <w:p>
                  <w:r>
                    <w:t xml:space="preserve">As principal diagnosis.</w:t>
                  </w:r>
                </w:p>
              </w:tc>
            </w:tr>
            <w:tr>
              <w:trPr/>
              <w:tc>
                <w:tcPr>
                  <w:tcW w:w="250" w:type="pct"/>
                  <w:vAlign w:val="top"/>
                </w:tcPr>
                <w:p>
                  <w:r>
                    <w:t xml:space="preserve">Dental conditions</w:t>
                  </w:r>
                </w:p>
              </w:tc>
              <w:tc>
                <w:tcPr>
                  <w:tcW w:w="200" w:type="pct"/>
                  <w:vAlign w:val="top"/>
                </w:tcPr>
                <w:p>
                  <w:r>
                    <w:t xml:space="preserve">K02</w:t>
                  </w:r>
                </w:p>
              </w:tc>
              <w:tc>
                <w:tcPr>
                  <w:tcW w:w="1950" w:type="pct"/>
                  <w:vAlign w:val="top"/>
                </w:tcPr>
                <w:p>
                  <w:r>
                    <w:t xml:space="preserve">Dental caries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K03</w:t>
                  </w:r>
                </w:p>
              </w:tc>
              <w:tc>
                <w:tcPr>
                  <w:tcW w:w="1950" w:type="pct"/>
                  <w:vAlign w:val="top"/>
                </w:tcPr>
                <w:p>
                  <w:r>
                    <w:t xml:space="preserve">Other diseases of hard tissues of teeth</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K04</w:t>
                  </w:r>
                </w:p>
              </w:tc>
              <w:tc>
                <w:tcPr>
                  <w:tcW w:w="1950" w:type="pct"/>
                  <w:vAlign w:val="top"/>
                </w:tcPr>
                <w:p>
                  <w:r>
                    <w:t xml:space="preserve">Diseases of pulp and periapical tissues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K05</w:t>
                  </w:r>
                </w:p>
              </w:tc>
              <w:tc>
                <w:tcPr>
                  <w:tcW w:w="1950" w:type="pct"/>
                  <w:vAlign w:val="top"/>
                </w:tcPr>
                <w:p>
                  <w:r>
                    <w:t xml:space="preserve">Gingivitis and periodontal diseases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K06</w:t>
                  </w:r>
                </w:p>
              </w:tc>
              <w:tc>
                <w:tcPr>
                  <w:tcW w:w="1950" w:type="pct"/>
                  <w:vAlign w:val="top"/>
                </w:tcPr>
                <w:p>
                  <w:r>
                    <w:t xml:space="preserve">Other disorders of gingiva and edentulous alveolar ridge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K08</w:t>
                  </w:r>
                </w:p>
              </w:tc>
              <w:tc>
                <w:tcPr>
                  <w:tcW w:w="1950" w:type="pct"/>
                  <w:vAlign w:val="top"/>
                </w:tcPr>
                <w:p>
                  <w:r>
                    <w:t xml:space="preserve">Other disorders of teeth and supporting structures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K09.8</w:t>
                  </w:r>
                </w:p>
              </w:tc>
              <w:tc>
                <w:tcPr>
                  <w:tcW w:w="1950" w:type="pct"/>
                  <w:vAlign w:val="top"/>
                </w:tcPr>
                <w:p>
                  <w:r>
                    <w:t xml:space="preserve">Other cysts of oral region, not elsewhere classified</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K09.9</w:t>
                  </w:r>
                </w:p>
              </w:tc>
              <w:tc>
                <w:tcPr>
                  <w:tcW w:w="1950" w:type="pct"/>
                  <w:vAlign w:val="top"/>
                </w:tcPr>
                <w:p>
                  <w:r>
                    <w:t xml:space="preserve">Cyst of oral region, unspecified</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K12</w:t>
                  </w:r>
                </w:p>
              </w:tc>
              <w:tc>
                <w:tcPr>
                  <w:tcW w:w="1950" w:type="pct"/>
                  <w:vAlign w:val="top"/>
                </w:tcPr>
                <w:p>
                  <w:r>
                    <w:t xml:space="preserve">Stomatitis and related lesions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K13</w:t>
                  </w:r>
                </w:p>
              </w:tc>
              <w:tc>
                <w:tcPr>
                  <w:tcW w:w="1950" w:type="pct"/>
                  <w:vAlign w:val="top"/>
                </w:tcPr>
                <w:p>
                  <w:r>
                    <w:t xml:space="preserve">Other diseases of lip and oral mucosa</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K14.0</w:t>
                  </w:r>
                </w:p>
              </w:tc>
              <w:tc>
                <w:tcPr>
                  <w:tcW w:w="1950" w:type="pct"/>
                  <w:vAlign w:val="top"/>
                </w:tcPr>
                <w:p>
                  <w:r>
                    <w:t xml:space="preserve">Glossitis</w:t>
                  </w:r>
                </w:p>
              </w:tc>
              <w:tc>
                <w:tcPr>
                  <w:tcW w:w="2450" w:type="pct"/>
                  <w:vAlign w:val="top"/>
                </w:tcPr>
                <w:p>
                  <w:r>
                    <w:t xml:space="preserve">As principal diagnosis.</w:t>
                  </w:r>
                </w:p>
              </w:tc>
            </w:tr>
            <w:tr>
              <w:trPr/>
              <w:tc>
                <w:tcPr>
                  <w:tcW w:w="250" w:type="pct"/>
                  <w:vAlign w:val="top"/>
                </w:tcPr>
                <w:p>
                  <w:r>
                    <w:t xml:space="preserve">Convulsions and epilepsy</w:t>
                  </w:r>
                </w:p>
              </w:tc>
              <w:tc>
                <w:tcPr>
                  <w:tcW w:w="200" w:type="pct"/>
                  <w:vAlign w:val="top"/>
                </w:tcPr>
                <w:p>
                  <w:r>
                    <w:t xml:space="preserve">G40</w:t>
                  </w:r>
                </w:p>
              </w:tc>
              <w:tc>
                <w:tcPr>
                  <w:tcW w:w="1950" w:type="pct"/>
                  <w:vAlign w:val="top"/>
                </w:tcPr>
                <w:p>
                  <w:r>
                    <w:t xml:space="preserve">Epilepsy</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G41</w:t>
                  </w:r>
                </w:p>
              </w:tc>
              <w:tc>
                <w:tcPr>
                  <w:tcW w:w="1950" w:type="pct"/>
                  <w:vAlign w:val="top"/>
                </w:tcPr>
                <w:p>
                  <w:r>
                    <w:t xml:space="preserve">Status epilepticus</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R56</w:t>
                  </w:r>
                </w:p>
              </w:tc>
              <w:tc>
                <w:tcPr>
                  <w:tcW w:w="1950" w:type="pct"/>
                  <w:vAlign w:val="top"/>
                </w:tcPr>
                <w:p>
                  <w:r>
                    <w:t xml:space="preserve">Convulsions, not elsewhere classified</w:t>
                  </w:r>
                </w:p>
              </w:tc>
              <w:tc>
                <w:tcPr>
                  <w:tcW w:w="2450" w:type="pct"/>
                  <w:vAlign w:val="top"/>
                </w:tcPr>
                <w:p>
                  <w:r>
                    <w:t xml:space="preserve">As principal diagnosis.</w:t>
                  </w:r>
                </w:p>
              </w:tc>
            </w:tr>
            <w:tr>
              <w:trPr/>
              <w:tc>
                <w:tcPr>
                  <w:tcW w:w="250" w:type="pct"/>
                  <w:vAlign w:val="top"/>
                </w:tcPr>
                <w:p>
                  <w:r>
                    <w:t xml:space="preserve">Eclampsia</w:t>
                  </w:r>
                </w:p>
              </w:tc>
              <w:tc>
                <w:tcPr>
                  <w:tcW w:w="200" w:type="pct"/>
                  <w:vAlign w:val="top"/>
                </w:tcPr>
                <w:p>
                  <w:r>
                    <w:t xml:space="preserve">O15</w:t>
                  </w:r>
                </w:p>
              </w:tc>
              <w:tc>
                <w:tcPr>
                  <w:tcW w:w="1950" w:type="pct"/>
                  <w:vAlign w:val="top"/>
                </w:tcPr>
                <w:p>
                  <w:r>
                    <w:t xml:space="preserve">Eclampsia</w:t>
                  </w:r>
                </w:p>
              </w:tc>
              <w:tc>
                <w:tcPr>
                  <w:tcW w:w="2450" w:type="pct"/>
                  <w:vAlign w:val="top"/>
                </w:tcPr>
                <w:p>
                  <w:r>
                    <w:t xml:space="preserve">As principal diagnosis.</w:t>
                  </w:r>
                </w:p>
              </w:tc>
            </w:tr>
            <w:tr>
              <w:trPr/>
              <w:tc>
                <w:tcPr>
                  <w:tcW w:w="250" w:type="pct"/>
                  <w:vAlign w:val="top"/>
                </w:tcPr>
                <w:p>
                  <w:r>
                    <w:t xml:space="preserve">Gangrene</w:t>
                  </w:r>
                </w:p>
              </w:tc>
              <w:tc>
                <w:tcPr>
                  <w:tcW w:w="200" w:type="pct"/>
                  <w:vAlign w:val="top"/>
                </w:tcPr>
                <w:p>
                  <w:r>
                    <w:t xml:space="preserve">R02</w:t>
                  </w:r>
                </w:p>
              </w:tc>
              <w:tc>
                <w:tcPr>
                  <w:tcW w:w="1950" w:type="pct"/>
                  <w:vAlign w:val="top"/>
                </w:tcPr>
                <w:p>
                  <w:r>
                    <w:t xml:space="preserve">Gangrene, not elsewhere classified</w:t>
                  </w:r>
                </w:p>
              </w:tc>
              <w:tc>
                <w:tcPr>
                  <w:tcW w:w="2450" w:type="pct"/>
                  <w:vAlign w:val="top"/>
                </w:tcPr>
                <w:p>
                  <w:r>
                    <w:t xml:space="preserve">In any diagnosis.</w:t>
                  </w:r>
                </w:p>
              </w:tc>
            </w:tr>
            <w:tr>
              <w:trPr/>
              <w:tc>
                <w:tcPr>
                  <w:tcW w:w="250" w:type="pct"/>
                  <w:vAlign w:val="top"/>
                </w:tcPr>
                <w:p>
                  <w:r>
                    <w:t xml:space="preserve"> </w:t>
                  </w:r>
                </w:p>
              </w:tc>
              <w:tc>
                <w:tcPr>
                  <w:tcW w:w="200" w:type="pct"/>
                  <w:vAlign w:val="top"/>
                </w:tcPr>
                <w:p>
                  <w:r>
                    <w:t xml:space="preserve">I70.24</w:t>
                  </w:r>
                </w:p>
              </w:tc>
              <w:tc>
                <w:tcPr>
                  <w:tcW w:w="1950" w:type="pct"/>
                  <w:vAlign w:val="top"/>
                </w:tcPr>
                <w:p>
                  <w:r>
                    <w:t xml:space="preserve">Atherosclerosis of arteries of extremities with gangrene</w:t>
                  </w:r>
                </w:p>
              </w:tc>
              <w:tc>
                <w:tcPr>
                  <w:tcW w:w="2450" w:type="pct"/>
                  <w:vAlign w:val="top"/>
                </w:tcPr>
                <w:p>
                  <w:r>
                    <w:t xml:space="preserve">As principal diagnosis.</w:t>
                  </w:r>
                </w:p>
              </w:tc>
            </w:tr>
            <w:tr>
              <w:trPr/>
              <w:tc>
                <w:tcPr>
                  <w:tcW w:w="250" w:type="pct"/>
                  <w:vAlign w:val="top"/>
                </w:tcPr>
                <w:p>
                  <w:r>
                    <w:t xml:space="preserve"> </w:t>
                  </w:r>
                </w:p>
              </w:tc>
              <w:tc>
                <w:tcPr>
                  <w:tcW w:w="200" w:type="pct"/>
                  <w:vAlign w:val="top"/>
                </w:tcPr>
                <w:p>
                  <w:r>
                    <w:t xml:space="preserve">E09.52</w:t>
                  </w:r>
                </w:p>
              </w:tc>
              <w:tc>
                <w:tcPr>
                  <w:tcW w:w="1950" w:type="pct"/>
                  <w:vAlign w:val="top"/>
                </w:tcPr>
                <w:p>
                  <w:r>
                    <w:t xml:space="preserve">Intermediate hyperglycaemia with peripheral angiopathy, with gangrene</w:t>
                  </w:r>
                </w:p>
              </w:tc>
              <w:tc>
                <w:tcPr>
                  <w:tcW w:w="2450" w:type="pct"/>
                  <w:vAlign w:val="top"/>
                </w:tcPr>
                <w:p>
                  <w:r>
                    <w:t xml:space="preserve">As principal diagnosis.</w:t>
                  </w:r>
                </w:p>
              </w:tc>
            </w:tr>
          </w:tbl>
          <w:p>
            <w:r>
              <w:t xml:space="preserve">Rates directly age-standardised to the 2001 Australian population.</w:t>
            </w:r>
          </w:p>
          <w:p>
            <w:r>
              <w:t xml:space="preserve">Analysis by state and territory, remoteness and Socio-Economic Indexes for Areas (SEIFA) Index of Relative Socio-Economic Disadvantage (IRSD) is based on usual residence of the person.</w:t>
            </w:r>
          </w:p>
          <w:p>
            <w:r>
              <w:t xml:space="preserve">Presented as a number per 100,000 population.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100,000 x (Numerator ÷ Denominator)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Number of potentially preventable hospitalisations, divided into three groups and total:</w:t>
            </w:r>
          </w:p>
          <w:p>
            <w:pPr>
              <w:pStyle w:val="ListParagraph"/>
              <w:numPr>
                <w:ilvl w:val="0"/>
                <w:numId w:val="2"/>
              </w:numPr>
            </w:pPr>
            <w:r>
              <w:rPr>
                <w:rStyle w:val="row-content-rich-text"/>
              </w:rPr>
              <w:t xml:space="preserve">vaccine-preventable conditions (e.g. tetanus, measles, mumps, rubella).</w:t>
            </w:r>
          </w:p>
          <w:p>
            <w:pPr>
              <w:pStyle w:val="ListParagraph"/>
              <w:numPr>
                <w:ilvl w:val="0"/>
                <w:numId w:val="2"/>
              </w:numPr>
            </w:pPr>
            <w:r>
              <w:rPr>
                <w:rStyle w:val="row-content-rich-text"/>
              </w:rPr>
              <w:t xml:space="preserve">acute conditions (e.g. ear, nose and throat infections, perforated/bleeding ulcer, pelvic inflammatory disease).</w:t>
            </w:r>
          </w:p>
          <w:p>
            <w:pPr>
              <w:pStyle w:val="ListParagraph"/>
              <w:numPr>
                <w:ilvl w:val="0"/>
                <w:numId w:val="2"/>
              </w:numPr>
            </w:pPr>
            <w:r>
              <w:rPr>
                <w:rStyle w:val="row-content-rich-text"/>
              </w:rPr>
              <w:t xml:space="preserve">chronic conditions (e.g. diabetes complications, asthma, angina, hypertension, congestive heart failure and chronic obstructive pulmonary disease).</w:t>
            </w:r>
          </w:p>
          <w:p>
            <w:pPr>
              <w:pStyle w:val="ListParagraph"/>
              <w:numPr>
                <w:ilvl w:val="0"/>
                <w:numId w:val="2"/>
              </w:numPr>
            </w:pPr>
            <w:r>
              <w:rPr>
                <w:rStyle w:val="row-content-rich-text"/>
              </w:rPr>
              <w:t xml:space="preserve">all potentially preventable hospitalisations.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c3679fdb2be7448f">
              <w:r>
                <w:rPr>
                  <w:rStyle w:val="Hyperlink"/>
                </w:rPr>
                <w:t xml:space="preserve">Episode of admitted patient care—admission date, DDMMYYYY</w:t>
              </w:r>
            </w:hyperlink>
          </w:p>
          <w:p>
            <w:r>
              <w:rPr>
                <w:rStyle w:val="row-content"/>
                <w:b/>
              </w:rPr>
              <w:t xml:space="preserve">Data Source</w:t>
            </w:r>
          </w:p>
          <w:p>
            <w:hyperlink w:history="true" r:id="R890cbdee38ec4a41">
              <w:r>
                <w:rPr>
                  <w:rStyle w:val="Hyperlink"/>
                </w:rPr>
                <w:t xml:space="preserve">National Hospital Morbidity Database (NHMD)</w:t>
              </w:r>
            </w:hyperlink>
          </w:p>
          <w:p>
            <w:r>
              <w:rPr>
                <w:rStyle w:val="row-content"/>
                <w:b/>
              </w:rPr>
              <w:t xml:space="preserve">NMDS / DSS</w:t>
            </w:r>
          </w:p>
          <w:p>
            <w:hyperlink w:history="true" r:id="Ra37076098fd74d16">
              <w:r>
                <w:rPr>
                  <w:rStyle w:val="Hyperlink"/>
                </w:rPr>
                <w:t xml:space="preserve">Admitted patient care NMDS 2017-18</w:t>
              </w:r>
            </w:hyperlink>
          </w:p>
          <w:p>
            <w:r>
              <w:rPr>
                <w:rStyle w:val="row-content"/>
              </w:rPr>
              <w:t xml:space="preserve"> </w:t>
            </w:r>
          </w:p>
          <w:p>
            <w:r>
              <w:rPr>
                <w:rStyle w:val="row-content"/>
                <w:b/>
                <w:color w:val="000000"/>
              </w:rPr>
              <w:t xml:space="preserve">Data Element / Data Set</w:t>
            </w:r>
          </w:p>
          <w:p>
            <w:hyperlink w:history="true" r:id="R30b7768ba5cd4fe0">
              <w:r>
                <w:rPr>
                  <w:rStyle w:val="Hyperlink"/>
                </w:rPr>
                <w:t xml:space="preserve">Episode of care—principal diagnosis, code (ICD-10-AM 10th edn) ANN{.N[N]}</w:t>
              </w:r>
            </w:hyperlink>
          </w:p>
          <w:p>
            <w:r>
              <w:rPr>
                <w:rStyle w:val="row-content"/>
                <w:b/>
              </w:rPr>
              <w:t xml:space="preserve">Data Source</w:t>
            </w:r>
          </w:p>
          <w:p>
            <w:hyperlink w:history="true" r:id="Rae1466f487904252">
              <w:r>
                <w:rPr>
                  <w:rStyle w:val="Hyperlink"/>
                </w:rPr>
                <w:t xml:space="preserve">National Hospital Morbidity Database (NHMD)</w:t>
              </w:r>
            </w:hyperlink>
          </w:p>
          <w:p>
            <w:r>
              <w:rPr>
                <w:rStyle w:val="row-content"/>
                <w:b/>
              </w:rPr>
              <w:t xml:space="preserve">NMDS / DSS</w:t>
            </w:r>
          </w:p>
          <w:p>
            <w:hyperlink w:history="true" r:id="Rdb032348b0b44b66">
              <w:r>
                <w:rPr>
                  <w:rStyle w:val="Hyperlink"/>
                </w:rPr>
                <w:t xml:space="preserve">Admitted patient care NMDS 2017-18</w:t>
              </w:r>
            </w:hyperlink>
          </w:p>
          <w:p>
            <w:r>
              <w:rPr>
                <w:rStyle w:val="row-content"/>
              </w:rPr>
              <w:t xml:space="preserve"> </w:t>
            </w:r>
          </w:p>
          <w:p>
            <w:r>
              <w:rPr>
                <w:rStyle w:val="row-content"/>
                <w:b/>
                <w:color w:val="000000"/>
              </w:rPr>
              <w:t xml:space="preserve">Data Element / Data Set</w:t>
            </w:r>
          </w:p>
          <w:p>
            <w:hyperlink w:history="true" r:id="R2bde5c302ded4c5c">
              <w:r>
                <w:rPr>
                  <w:rStyle w:val="Hyperlink"/>
                </w:rPr>
                <w:t xml:space="preserve">Episode of care—additional diagnosis, code (ICD-10-AM 10th edn) ANN{.N[N]}</w:t>
              </w:r>
            </w:hyperlink>
          </w:p>
          <w:p>
            <w:r>
              <w:rPr>
                <w:rStyle w:val="row-content"/>
                <w:b/>
              </w:rPr>
              <w:t xml:space="preserve">Data Source</w:t>
            </w:r>
          </w:p>
          <w:p>
            <w:hyperlink w:history="true" r:id="R25743196eec14fb1">
              <w:r>
                <w:rPr>
                  <w:rStyle w:val="Hyperlink"/>
                </w:rPr>
                <w:t xml:space="preserve">National Hospital Morbidity Database (NHMD)</w:t>
              </w:r>
            </w:hyperlink>
          </w:p>
          <w:p>
            <w:r>
              <w:rPr>
                <w:rStyle w:val="row-content"/>
                <w:b/>
              </w:rPr>
              <w:t xml:space="preserve">NMDS / DSS</w:t>
            </w:r>
          </w:p>
          <w:p>
            <w:hyperlink w:history="true" r:id="R294485a01fe8413f">
              <w:r>
                <w:rPr>
                  <w:rStyle w:val="Hyperlink"/>
                </w:rPr>
                <w:t xml:space="preserve">Admitted patient care NMDS 2017-18</w:t>
              </w:r>
            </w:hyperlink>
          </w:p>
          <w:p>
            <w:r>
              <w:rPr>
                <w:rStyle w:val="row-content"/>
              </w:rPr>
              <w:t xml:space="preserve"> </w:t>
            </w:r>
          </w:p>
          <w:p>
            <w:r>
              <w:rPr>
                <w:rStyle w:val="row-content"/>
                <w:b/>
                <w:color w:val="000000"/>
              </w:rPr>
              <w:t xml:space="preserve">Data Element / Data Set</w:t>
            </w:r>
          </w:p>
          <w:p>
            <w:hyperlink w:history="true" r:id="R8fe90c936b7d4d50">
              <w:r>
                <w:rPr>
                  <w:rStyle w:val="Hyperlink"/>
                </w:rPr>
                <w:t xml:space="preserve">Episode of admitted patient care—procedure, code (ACHI 10th edn) NNNNN-NN</w:t>
              </w:r>
            </w:hyperlink>
          </w:p>
          <w:p>
            <w:r>
              <w:rPr>
                <w:rStyle w:val="row-content"/>
                <w:b/>
              </w:rPr>
              <w:t xml:space="preserve">Data Source</w:t>
            </w:r>
          </w:p>
          <w:p>
            <w:hyperlink w:history="true" r:id="Rbd1fc7efc66e4a56">
              <w:r>
                <w:rPr>
                  <w:rStyle w:val="Hyperlink"/>
                </w:rPr>
                <w:t xml:space="preserve">National Hospital Morbidity Database (NHMD)</w:t>
              </w:r>
            </w:hyperlink>
          </w:p>
          <w:p>
            <w:r>
              <w:rPr>
                <w:rStyle w:val="row-content"/>
                <w:b/>
              </w:rPr>
              <w:t xml:space="preserve">NMDS / DSS</w:t>
            </w:r>
          </w:p>
          <w:p>
            <w:hyperlink w:history="true" r:id="R78b989accc984f60">
              <w:r>
                <w:rPr>
                  <w:rStyle w:val="Hyperlink"/>
                </w:rPr>
                <w:t xml:space="preserve">Admitted patient care NMDS 2017-18</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Total population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Person—projected Indigenous population of Australia, total people, N[N(9)]</w:t>
            </w:r>
          </w:p>
          <w:p>
            <w:r>
              <w:rPr>
                <w:rStyle w:val="row-content"/>
                <w:b/>
              </w:rPr>
              <w:t xml:space="preserve">Data Source</w:t>
            </w:r>
          </w:p>
          <w:p>
            <w:hyperlink w:history="true" r:id="R6885813782a64697">
              <w:r>
                <w:rPr>
                  <w:rStyle w:val="Hyperlink"/>
                </w:rPr>
                <w:t xml:space="preserve">ABS Indigenous estimates and projections (2016 Census-based)</w:t>
              </w:r>
            </w:hyperlink>
          </w:p>
          <w:p>
            <w:r>
              <w:rPr>
                <w:rStyle w:val="row-content"/>
              </w:rPr>
              <w:t xml:space="preserve"> </w:t>
            </w:r>
          </w:p>
          <w:p>
            <w:r>
              <w:rPr>
                <w:rStyle w:val="row-content"/>
                <w:b/>
                <w:color w:val="000000"/>
              </w:rPr>
              <w:t xml:space="preserve">Data Element / Data Set</w:t>
            </w:r>
          </w:p>
          <w:p>
            <w:hyperlink w:history="true" r:id="Rddfa5374a3d64f1d">
              <w:r>
                <w:rPr>
                  <w:rStyle w:val="Hyperlink"/>
                </w:rPr>
                <w:t xml:space="preserve">Person—estimated resident population of Australia, total people N[N(7)]</w:t>
              </w:r>
            </w:hyperlink>
          </w:p>
          <w:p>
            <w:r>
              <w:rPr>
                <w:rStyle w:val="row-content"/>
                <w:b/>
              </w:rPr>
              <w:t xml:space="preserve">Data Source</w:t>
            </w:r>
          </w:p>
          <w:p>
            <w:hyperlink w:history="true" r:id="R9639e2b2989e4276">
              <w:r>
                <w:rPr>
                  <w:rStyle w:val="Hyperlink"/>
                </w:rPr>
                <w:t xml:space="preserve">ABS Estimated resident population (2016 Census-based)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2007–08, 2008–09, 2009–10, 2010–11, 2011–12, 2012–13, 2013–14, 2014–15, 2015–16, 2016–17, 2017–18—National.</w:t>
            </w:r>
          </w:p>
          <w:p>
            <w:pPr>
              <w:spacing w:after="160"/>
            </w:pPr>
            <w:r>
              <w:rPr>
                <w:rStyle w:val="row-content-rich-text"/>
              </w:rPr>
              <w:t xml:space="preserve">Nationally, by three groups (not reported).</w:t>
            </w:r>
          </w:p>
          <w:p>
            <w:pPr>
              <w:spacing w:after="160"/>
            </w:pPr>
            <w:r>
              <w:rPr>
                <w:rStyle w:val="row-content-rich-text"/>
              </w:rPr>
              <w:t xml:space="preserve">Nationally (by three groups and total) by (all not reported):</w:t>
            </w:r>
          </w:p>
          <w:p>
            <w:pPr>
              <w:pStyle w:val="ListParagraph"/>
              <w:numPr>
                <w:ilvl w:val="0"/>
                <w:numId w:val="3"/>
              </w:numPr>
            </w:pPr>
            <w:r>
              <w:rPr>
                <w:rStyle w:val="row-content-rich-text"/>
              </w:rPr>
              <w:t xml:space="preserve">SEIFA IRSD deciles.</w:t>
            </w:r>
          </w:p>
          <w:p>
            <w:pPr>
              <w:pStyle w:val="ListParagraph"/>
              <w:numPr>
                <w:ilvl w:val="0"/>
                <w:numId w:val="3"/>
              </w:numPr>
            </w:pPr>
            <w:r>
              <w:rPr>
                <w:rStyle w:val="row-content-rich-text"/>
              </w:rPr>
              <w:t xml:space="preserve">Indigenous status</w:t>
            </w:r>
          </w:p>
          <w:p>
            <w:pPr>
              <w:pStyle w:val="ListParagraph"/>
              <w:numPr>
                <w:ilvl w:val="0"/>
                <w:numId w:val="3"/>
              </w:numPr>
            </w:pPr>
            <w:r>
              <w:rPr>
                <w:rStyle w:val="row-content-rich-text"/>
              </w:rPr>
              <w:t xml:space="preserve">remoteness (Australian Statistical Geography Standard (ASGS) Remoteness Structure).</w:t>
            </w:r>
          </w:p>
          <w:p>
            <w:pPr>
              <w:spacing w:after="160"/>
            </w:pPr>
            <w:r>
              <w:rPr>
                <w:rStyle w:val="row-content-rich-text"/>
              </w:rPr>
              <w:t xml:space="preserve">2007–08, 2008–09, 2009–10, 2010–11, 2011–12, 2012–13, 2013–14, 2014–15, 2015–16, 2016–17, 2017–18—State and territory.</w:t>
            </w:r>
          </w:p>
          <w:p>
            <w:pPr>
              <w:spacing w:after="160"/>
            </w:pPr>
            <w:r>
              <w:rPr>
                <w:rStyle w:val="row-content-rich-text"/>
              </w:rPr>
              <w:t xml:space="preserve">State and territory, by three groups (not reported).</w:t>
            </w:r>
          </w:p>
          <w:p>
            <w:pPr>
              <w:spacing w:after="160"/>
            </w:pPr>
            <w:r>
              <w:rPr>
                <w:rStyle w:val="row-content-rich-text"/>
              </w:rPr>
              <w:t xml:space="preserve">State and territory (by three groups and total), by (all not reported):</w:t>
            </w:r>
          </w:p>
          <w:p>
            <w:pPr>
              <w:pStyle w:val="ListParagraph"/>
              <w:numPr>
                <w:ilvl w:val="0"/>
                <w:numId w:val="4"/>
              </w:numPr>
            </w:pPr>
            <w:r>
              <w:rPr>
                <w:rStyle w:val="row-content-rich-text"/>
              </w:rPr>
              <w:t xml:space="preserve">remoteness (ASGS Remoteness Structure).</w:t>
            </w:r>
          </w:p>
          <w:p>
            <w:pPr>
              <w:pStyle w:val="ListParagraph"/>
              <w:numPr>
                <w:ilvl w:val="0"/>
                <w:numId w:val="4"/>
              </w:numPr>
            </w:pPr>
            <w:r>
              <w:rPr>
                <w:rStyle w:val="row-content-rich-text"/>
              </w:rPr>
              <w:t xml:space="preserve">Indigenous status.</w:t>
            </w:r>
          </w:p>
          <w:p>
            <w:pPr>
              <w:pStyle w:val="ListParagraph"/>
              <w:numPr>
                <w:ilvl w:val="0"/>
                <w:numId w:val="4"/>
              </w:numPr>
            </w:pPr>
            <w:r>
              <w:rPr>
                <w:rStyle w:val="row-content-rich-text"/>
              </w:rPr>
              <w:t xml:space="preserve">SEIFA IRSD quintiles.</w:t>
            </w:r>
          </w:p>
          <w:p>
            <w:pPr/>
            <w:r>
              <w:rPr>
                <w:rStyle w:val="row-content-rich-text"/>
              </w:rPr>
              <w:t xml:space="preserve">Some disaggregation may result in numbers too small for publication.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fb8999f8613545b1">
              <w:r>
                <w:rPr>
                  <w:rStyle w:val="Hyperlink"/>
                </w:rPr>
                <w:t xml:space="preserve">Person—Indigenous status, code N</w:t>
              </w:r>
            </w:hyperlink>
          </w:p>
          <w:p>
            <w:r>
              <w:rPr>
                <w:rStyle w:val="row-content"/>
                <w:b/>
              </w:rPr>
              <w:t xml:space="preserve">Data Source</w:t>
            </w:r>
          </w:p>
          <w:p>
            <w:hyperlink w:history="true" r:id="Rf302c1bf997d48d4">
              <w:r>
                <w:rPr>
                  <w:rStyle w:val="Hyperlink"/>
                </w:rPr>
                <w:t xml:space="preserve">National Hospital Morbidity Database (NHMD)</w:t>
              </w:r>
            </w:hyperlink>
          </w:p>
          <w:p>
            <w:r>
              <w:rPr>
                <w:rStyle w:val="row-content"/>
                <w:b/>
              </w:rPr>
              <w:t xml:space="preserve">NMDS / DSS</w:t>
            </w:r>
          </w:p>
          <w:p>
            <w:hyperlink w:history="true" r:id="Rfcb41d82ab3349c1">
              <w:r>
                <w:rPr>
                  <w:rStyle w:val="Hyperlink"/>
                </w:rPr>
                <w:t xml:space="preserve">Admitted patient care NMDS 2017-18</w:t>
              </w:r>
            </w:hyperlink>
          </w:p>
          <w:p>
            <w:r>
              <w:rPr>
                <w:rStyle w:val="row-content"/>
              </w:rPr>
              <w:t xml:space="preserve"> </w:t>
            </w:r>
          </w:p>
          <w:p>
            <w:r>
              <w:rPr>
                <w:rStyle w:val="row-content"/>
                <w:b/>
                <w:color w:val="000000"/>
              </w:rPr>
              <w:t xml:space="preserve">Data Element / Data Set</w:t>
            </w:r>
          </w:p>
          <w:p>
            <w:hyperlink w:history="true" r:id="R8906cd01c51642c1">
              <w:r>
                <w:rPr>
                  <w:rStyle w:val="Hyperlink"/>
                </w:rPr>
                <w:t xml:space="preserve">Person—area of usual residence, statistical area level 2 (SA2) code (ASGS 2016) N(9)</w:t>
              </w:r>
            </w:hyperlink>
          </w:p>
          <w:p>
            <w:r>
              <w:rPr>
                <w:rStyle w:val="row-content"/>
                <w:b/>
              </w:rPr>
              <w:t xml:space="preserve">Data Source</w:t>
            </w:r>
          </w:p>
          <w:p>
            <w:hyperlink w:history="true" r:id="Ra671da809ca7492a">
              <w:r>
                <w:rPr>
                  <w:rStyle w:val="Hyperlink"/>
                </w:rPr>
                <w:t xml:space="preserve">National Hospital Morbidity Database (NHMD)</w:t>
              </w:r>
            </w:hyperlink>
          </w:p>
          <w:p>
            <w:r>
              <w:rPr>
                <w:rStyle w:val="row-content"/>
                <w:b/>
              </w:rPr>
              <w:t xml:space="preserve">NMDS / DSS</w:t>
            </w:r>
          </w:p>
          <w:p>
            <w:hyperlink w:history="true" r:id="R61838317f88b4bad">
              <w:r>
                <w:rPr>
                  <w:rStyle w:val="Hyperlink"/>
                </w:rPr>
                <w:t xml:space="preserve">Admitted patient care NMDS 2017-18</w:t>
              </w:r>
            </w:hyperlink>
          </w:p>
          <w:p>
            <w:r>
              <w:rPr>
                <w:rStyle w:val="row-content"/>
                <w:b/>
              </w:rPr>
              <w:t xml:space="preserve">Guide for use</w:t>
            </w:r>
          </w:p>
          <w:p>
            <w:r>
              <w:rPr>
                <w:rStyle w:val="row-content"/>
              </w:rPr>
              <w:t xml:space="preserve">Used for disaggregation by state/territory, remoteness and SEIFA IRSD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Most recent data available for Australian Health Performance Framework reporting: 2017–18.</w:t>
            </w:r>
          </w:p>
          <w:p>
            <w:pPr>
              <w:spacing w:after="160"/>
            </w:pPr>
            <w:r>
              <w:rPr>
                <w:rStyle w:val="row-content-rich-text"/>
              </w:rPr>
              <w:t xml:space="preserve">The scope of the National Hospital Morbidity Database is episodes of care for admitted patients in essentially all hospitals in Australia, including public and private acute and psychiatric hospitals, free-standing day hospital facilities, alcohol and drug treatment hospitals and dental hospitals.</w:t>
            </w:r>
          </w:p>
          <w:p>
            <w:pPr/>
            <w:r>
              <w:rPr>
                <w:rStyle w:val="row-content-rich-text"/>
              </w:rPr>
              <w:t xml:space="preserve">For 2017-18 data, the SEIFA IRSD quintiles and deciles used are 2016 SEIFA IRSD quintiles and deciles derived using the Australian Statistical Geography Standard (ASGS) 2016 geographical unit of Statistical Area Level 2.</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Rate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Episode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e4740a08de8946fb">
              <w:r>
                <w:rPr>
                  <w:rStyle w:val="Hyperlink"/>
                </w:rPr>
                <w:t xml:space="preserve">1. Effectiveness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6bd144fc9737414c">
              <w:r>
                <w:rPr>
                  <w:rStyle w:val="Hyperlink"/>
                </w:rPr>
                <w:t xml:space="preserve">ABS Indigenous estimates and projections (2016 Census-based)</w:t>
              </w:r>
            </w:hyperlink>
          </w:p>
          <w:p>
            <w:r>
              <w:rPr>
                <w:rStyle w:val="row-content"/>
                <w:b/>
              </w:rPr>
              <w:t xml:space="preserve">Frequency</w:t>
            </w:r>
          </w:p>
          <w:p>
            <w:r>
              <w:rPr>
                <w:rStyle w:val="row-content"/>
              </w:rPr>
              <w:t xml:space="preserve">Periodic</w:t>
            </w:r>
          </w:p>
          <w:p>
            <w:r>
              <w:rPr>
                <w:rStyle w:val="row-content"/>
                <w:b/>
              </w:rPr>
              <w:t xml:space="preserve">Data custodian</w:t>
            </w:r>
          </w:p>
          <w:p>
            <w:r>
              <w:rPr>
                <w:rStyle w:val="row-content"/>
              </w:rPr>
              <w:t xml:space="preserve">Australian Bureau of Statistics</w:t>
            </w:r>
          </w:p>
          <w:p>
            <w:r>
              <w:rPr>
                <w:rStyle w:val="row-content"/>
              </w:rPr>
              <w:t xml:space="preserve"> </w:t>
            </w:r>
          </w:p>
          <w:p>
            <w:r>
              <w:rPr>
                <w:rStyle w:val="row-content"/>
                <w:b/>
                <w:color w:val="000000"/>
              </w:rPr>
              <w:t xml:space="preserve">Data Source</w:t>
            </w:r>
          </w:p>
          <w:p>
            <w:hyperlink w:history="true" r:id="R7d3670f28db04e32">
              <w:r>
                <w:rPr>
                  <w:rStyle w:val="Hyperlink"/>
                </w:rPr>
                <w:t xml:space="preserve">National Hospital Morbidity Database (NHMD)</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Institute of Health and Welfare</w:t>
            </w:r>
          </w:p>
          <w:p>
            <w:r>
              <w:rPr>
                <w:rStyle w:val="row-content"/>
              </w:rPr>
              <w:t xml:space="preserve"> </w:t>
            </w:r>
          </w:p>
          <w:p>
            <w:r>
              <w:rPr>
                <w:rStyle w:val="row-content"/>
                <w:b/>
                <w:color w:val="000000"/>
              </w:rPr>
              <w:t xml:space="preserve">Data Source</w:t>
            </w:r>
          </w:p>
          <w:p>
            <w:hyperlink w:history="true" r:id="Rffe6852e501d41f6">
              <w:r>
                <w:rPr>
                  <w:rStyle w:val="Hyperlink"/>
                </w:rPr>
                <w:t xml:space="preserve">ABS Estimated resident population (2016 Census-based)</w:t>
              </w:r>
            </w:hyperlink>
          </w:p>
          <w:p>
            <w:r>
              <w:rPr>
                <w:rStyle w:val="row-content"/>
                <w:b/>
              </w:rPr>
              <w:t xml:space="preserve">Frequency</w:t>
            </w:r>
          </w:p>
          <w:p>
            <w:r>
              <w:rPr>
                <w:rStyle w:val="row-content"/>
              </w:rPr>
              <w:t xml:space="preserve">Quarterly</w:t>
            </w:r>
          </w:p>
          <w:p>
            <w:r>
              <w:rPr>
                <w:rStyle w:val="row-content"/>
                <w:b/>
              </w:rPr>
              <w:t xml:space="preserve">Data custodian</w:t>
            </w:r>
          </w:p>
          <w:p>
            <w:r>
              <w:rPr>
                <w:rStyle w:val="row-content"/>
              </w:rPr>
              <w:t xml:space="preserve">Australian Bureau of Statistics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Health Performance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33f1af58035245c3">
              <w:r>
                <w:rPr>
                  <w:rStyle w:val="Hyperlink"/>
                </w:rPr>
                <w:t xml:space="preserve">Australian Health Performance Framework: PI 2.1.4–Selected potentially preventable hospitalisations, 2020</w:t>
              </w:r>
            </w:hyperlink>
          </w:p>
          <w:p>
            <w:pPr>
              <w:pStyle w:val="registration-status"/>
              <w:spacing w:before="0" w:after="0"/>
            </w:pPr>
            <w:hyperlink w:history="true" r:id="R702dcdd5691a4dd9">
              <w:r>
                <w:rPr>
                  <w:rStyle w:val="Hyperlink"/>
                  <w:color w:val="244061"/>
                </w:rPr>
                <w:t xml:space="preserve">Health</w:t>
              </w:r>
            </w:hyperlink>
            <w:r>
              <w:rPr>
                <w:rStyle w:val="row-content"/>
                <w:color w:val="244061"/>
              </w:rPr>
              <w:t xml:space="preserve">, Standard 01/12/2020</w:t>
            </w:r>
          </w:p>
          <w:p>
            <w:r>
              <w:br/>
            </w:r>
            <w:r>
              <w:rPr>
                <w:rStyle w:val="row-content"/>
              </w:rPr>
              <w:t xml:space="preserve">See also </w:t>
            </w:r>
            <w:hyperlink w:history="true" r:id="Rf33853fa979b4a1e">
              <w:r>
                <w:rPr>
                  <w:rStyle w:val="Hyperlink"/>
                </w:rPr>
                <w:t xml:space="preserve">Australian Health Performance Framework: PI 2.1.6–Potentially avoidable deaths, 2019</w:t>
              </w:r>
            </w:hyperlink>
          </w:p>
          <w:p>
            <w:pPr>
              <w:pStyle w:val="registration-status"/>
              <w:spacing w:before="0" w:after="0"/>
            </w:pPr>
            <w:hyperlink w:history="true" r:id="R6a7534b4e2da412b">
              <w:r>
                <w:rPr>
                  <w:rStyle w:val="Hyperlink"/>
                  <w:color w:val="244061"/>
                </w:rPr>
                <w:t xml:space="preserve">Health</w:t>
              </w:r>
            </w:hyperlink>
            <w:r>
              <w:rPr>
                <w:rStyle w:val="row-content"/>
                <w:color w:val="244061"/>
              </w:rPr>
              <w:t xml:space="preserve">, Superseded 01/12/2020</w:t>
            </w:r>
          </w:p>
          <w:p>
            <w:r>
              <w:br/>
            </w:r>
            <w:r>
              <w:rPr>
                <w:rStyle w:val="row-content"/>
              </w:rPr>
              <w:t xml:space="preserve">See also </w:t>
            </w:r>
            <w:hyperlink w:history="true" r:id="R4780cb8b17894484">
              <w:r>
                <w:rPr>
                  <w:rStyle w:val="Hyperlink"/>
                </w:rPr>
                <w:t xml:space="preserve">Australian Health Performance Framework: PI 2.4.1–Unplanned hospital readmission rates, 2019</w:t>
              </w:r>
            </w:hyperlink>
          </w:p>
          <w:p>
            <w:pPr>
              <w:pStyle w:val="registration-status"/>
              <w:spacing w:before="0" w:after="0"/>
            </w:pPr>
            <w:hyperlink w:history="true" r:id="R41376d9a451c40bf">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2466dd37cfa54c02">
              <w:r>
                <w:rPr>
                  <w:rStyle w:val="Hyperlink"/>
                </w:rPr>
                <w:t xml:space="preserve">National Healthcare Agreement: PI 16–Potentially avoidable deaths, 2020</w:t>
              </w:r>
            </w:hyperlink>
          </w:p>
          <w:p>
            <w:pPr>
              <w:pStyle w:val="registration-status"/>
              <w:spacing w:before="0" w:after="0"/>
            </w:pPr>
            <w:hyperlink w:history="true" r:id="Rc4bef9c94f274201">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2b121dc00fed4051">
              <w:r>
                <w:rPr>
                  <w:rStyle w:val="Hyperlink"/>
                </w:rPr>
                <w:t xml:space="preserve">National Healthcare Agreement: PI 16–Potentially avoidable deaths, 2021</w:t>
              </w:r>
            </w:hyperlink>
          </w:p>
          <w:p>
            <w:pPr>
              <w:pStyle w:val="registration-status"/>
              <w:spacing w:before="0" w:after="0"/>
            </w:pPr>
            <w:hyperlink w:history="true" r:id="Rbfcd5f9653a149fd">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31fc68f4fee3475f">
              <w:r>
                <w:rPr>
                  <w:rStyle w:val="Hyperlink"/>
                </w:rPr>
                <w:t xml:space="preserve">National Healthcare Agreement: PI 18–Selected potentially preventable hospitalisations, 2020</w:t>
              </w:r>
            </w:hyperlink>
          </w:p>
          <w:p>
            <w:pPr>
              <w:pStyle w:val="registration-status"/>
              <w:spacing w:before="0" w:after="0"/>
            </w:pPr>
            <w:hyperlink w:history="true" r:id="R3367d34994d44e64">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36bf2745c1de40e4">
              <w:r>
                <w:rPr>
                  <w:rStyle w:val="Hyperlink"/>
                </w:rPr>
                <w:t xml:space="preserve">National Healthcare Agreement: PI 18–Selected potentially preventable hospitalisations, 2021</w:t>
              </w:r>
            </w:hyperlink>
          </w:p>
          <w:p>
            <w:pPr>
              <w:pStyle w:val="registration-status"/>
              <w:spacing w:before="0" w:after="0"/>
            </w:pPr>
            <w:hyperlink w:history="true" r:id="R299b6337130141de">
              <w:r>
                <w:rPr>
                  <w:rStyle w:val="Hyperlink"/>
                  <w:color w:val="244061"/>
                </w:rPr>
                <w:t xml:space="preserve">Health</w:t>
              </w:r>
            </w:hyperlink>
            <w:r>
              <w:rPr>
                <w:rStyle w:val="row-content"/>
                <w:color w:val="244061"/>
              </w:rPr>
              <w:t xml:space="preserve">, Standard 16/09/2020</w:t>
            </w:r>
          </w:p>
          <w:p>
            <w:r>
              <w:br/>
            </w:r>
            <w:r>
              <w:rPr>
                <w:rStyle w:val="row-content"/>
              </w:rPr>
              <w:t xml:space="preserve">See also </w:t>
            </w:r>
            <w:hyperlink w:history="true" r:id="R4d9cf9a3782d4cb3">
              <w:r>
                <w:rPr>
                  <w:rStyle w:val="Hyperlink"/>
                </w:rPr>
                <w:t xml:space="preserve">National Healthcare Agreement: PI 23–Unplanned hospital readmission rates, 2020</w:t>
              </w:r>
            </w:hyperlink>
          </w:p>
          <w:p>
            <w:pPr>
              <w:pStyle w:val="registration-status"/>
              <w:spacing w:before="0" w:after="0"/>
            </w:pPr>
            <w:hyperlink w:history="true" r:id="R6d77628d882b4dfa">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0cb9c0c925594b44">
              <w:r>
                <w:rPr>
                  <w:rStyle w:val="Hyperlink"/>
                </w:rPr>
                <w:t xml:space="preserve">National Healthcare Agreement: PI 23–Unplanned hospital readmission rates, 2021</w:t>
              </w:r>
            </w:hyperlink>
          </w:p>
          <w:p>
            <w:pPr>
              <w:pStyle w:val="registration-status"/>
              <w:spacing w:before="0" w:after="0"/>
            </w:pPr>
            <w:hyperlink w:history="true" r:id="R871126ae808d49c7">
              <w:r>
                <w:rPr>
                  <w:rStyle w:val="Hyperlink"/>
                  <w:color w:val="244061"/>
                </w:rPr>
                <w:t xml:space="preserve">Health</w:t>
              </w:r>
            </w:hyperlink>
            <w:r>
              <w:rPr>
                <w:rStyle w:val="row-content"/>
                <w:color w:val="244061"/>
              </w:rPr>
              <w:t xml:space="preserve">, Standard 19/11/2020</w:t>
            </w:r>
          </w:p>
          <w:p>
            <w:r>
              <w:br/>
            </w:r>
          </w:p>
        </w:tc>
      </w:tr>
    </w:tbl>
    <w:p>
      <w:r>
        <w:br/>
      </w:r>
    </w:p>
    <w:sectPr>
      <w:footerReference xmlns:r="http://schemas.openxmlformats.org/officeDocument/2006/relationships" w:type="default" r:id="R7c9410336055462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715161</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a297c6d48a24a2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xmlns:w="http://schemas.openxmlformats.org/wordprocessingml/2006/main" w:type="paragraph" w:styleId="Caption">
    <w:name w:val="caption"/>
    <w:basedOn w:val="Normal"/>
    <w:next w:val="Normal"/>
    <w:unhideWhenUsed/>
    <w:qFormat/>
    <w:pPr>
      <w:spacing w:after="200" w:line="240" w:lineRule="auto"/>
    </w:pPr>
    <w:rPr>
      <w:b/>
      <w:bCs/>
      <w:color w:val="5B9BD5" w:themeColor="accent1"/>
      <w:sz w:val="18"/>
      <w:szCs w:val="18"/>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c9410336055462c" /><Relationship Type="http://schemas.openxmlformats.org/officeDocument/2006/relationships/header" Target="/word/header1.xml" Id="R1eb85f92cd1740e1" /><Relationship Type="http://schemas.openxmlformats.org/officeDocument/2006/relationships/settings" Target="/word/settings.xml" Id="R985bd9f399ad4f70" /><Relationship Type="http://schemas.openxmlformats.org/officeDocument/2006/relationships/styles" Target="/word/styles.xml" Id="Rb163378ccd204c18" /><Relationship Type="http://schemas.openxmlformats.org/officeDocument/2006/relationships/numbering" Target="/word/numbering.xml" Id="Ra85693515dba4b09" /><Relationship Type="http://schemas.openxmlformats.org/officeDocument/2006/relationships/hyperlink" Target="https://meteor.aihw.gov.au/RegistrationAuthority/12" TargetMode="External" Id="R73fe48da6d2645bc" /><Relationship Type="http://schemas.openxmlformats.org/officeDocument/2006/relationships/hyperlink" Target="https://meteor.aihw.gov.au/content/715015" TargetMode="External" Id="Rd6e61f8edc434634" /><Relationship Type="http://schemas.openxmlformats.org/officeDocument/2006/relationships/hyperlink" Target="https://meteor.aihw.gov.au/RegistrationAuthority/12" TargetMode="External" Id="R1a708d7330834853" /><Relationship Type="http://schemas.openxmlformats.org/officeDocument/2006/relationships/hyperlink" Target="https://meteor.aihw.gov.au/content/715015" TargetMode="External" Id="Rb4154908cc8b40ec" /><Relationship Type="http://schemas.openxmlformats.org/officeDocument/2006/relationships/hyperlink" Target="https://meteor.aihw.gov.au/RegistrationAuthority/12" TargetMode="External" Id="R84b942a9bba349bf" /><Relationship Type="http://schemas.openxmlformats.org/officeDocument/2006/relationships/hyperlink" Target="https://meteor.aihw.gov.au/content/269967" TargetMode="External" Id="Rc3679fdb2be7448f" /><Relationship Type="http://schemas.openxmlformats.org/officeDocument/2006/relationships/hyperlink" Target="https://meteor.aihw.gov.au/content/394352" TargetMode="External" Id="R890cbdee38ec4a41" /><Relationship Type="http://schemas.openxmlformats.org/officeDocument/2006/relationships/hyperlink" Target="https://meteor.aihw.gov.au/content/641349" TargetMode="External" Id="Ra37076098fd74d16" /><Relationship Type="http://schemas.openxmlformats.org/officeDocument/2006/relationships/hyperlink" Target="https://meteor.aihw.gov.au/content/640978" TargetMode="External" Id="R30b7768ba5cd4fe0" /><Relationship Type="http://schemas.openxmlformats.org/officeDocument/2006/relationships/hyperlink" Target="https://meteor.aihw.gov.au/content/394352" TargetMode="External" Id="Rae1466f487904252" /><Relationship Type="http://schemas.openxmlformats.org/officeDocument/2006/relationships/hyperlink" Target="https://meteor.aihw.gov.au/content/641349" TargetMode="External" Id="Rdb032348b0b44b66" /><Relationship Type="http://schemas.openxmlformats.org/officeDocument/2006/relationships/hyperlink" Target="https://meteor.aihw.gov.au/content/641014" TargetMode="External" Id="R2bde5c302ded4c5c" /><Relationship Type="http://schemas.openxmlformats.org/officeDocument/2006/relationships/hyperlink" Target="https://meteor.aihw.gov.au/content/394352" TargetMode="External" Id="R25743196eec14fb1" /><Relationship Type="http://schemas.openxmlformats.org/officeDocument/2006/relationships/hyperlink" Target="https://meteor.aihw.gov.au/content/641349" TargetMode="External" Id="R294485a01fe8413f" /><Relationship Type="http://schemas.openxmlformats.org/officeDocument/2006/relationships/hyperlink" Target="https://meteor.aihw.gov.au/content/641379" TargetMode="External" Id="R8fe90c936b7d4d50" /><Relationship Type="http://schemas.openxmlformats.org/officeDocument/2006/relationships/hyperlink" Target="https://meteor.aihw.gov.au/content/394352" TargetMode="External" Id="Rbd1fc7efc66e4a56" /><Relationship Type="http://schemas.openxmlformats.org/officeDocument/2006/relationships/hyperlink" Target="https://meteor.aihw.gov.au/content/641349" TargetMode="External" Id="R78b989accc984f60" /><Relationship Type="http://schemas.openxmlformats.org/officeDocument/2006/relationships/hyperlink" Target="https://meteor.aihw.gov.au/content/719790" TargetMode="External" Id="R6885813782a64697" /><Relationship Type="http://schemas.openxmlformats.org/officeDocument/2006/relationships/hyperlink" Target="https://meteor.aihw.gov.au/content/388656" TargetMode="External" Id="Rddfa5374a3d64f1d" /><Relationship Type="http://schemas.openxmlformats.org/officeDocument/2006/relationships/hyperlink" Target="https://meteor.aihw.gov.au/content/704699" TargetMode="External" Id="R9639e2b2989e4276" /><Relationship Type="http://schemas.openxmlformats.org/officeDocument/2006/relationships/hyperlink" Target="https://meteor.aihw.gov.au/content/602543" TargetMode="External" Id="Rfb8999f8613545b1" /><Relationship Type="http://schemas.openxmlformats.org/officeDocument/2006/relationships/hyperlink" Target="https://meteor.aihw.gov.au/content/394352" TargetMode="External" Id="Rf302c1bf997d48d4" /><Relationship Type="http://schemas.openxmlformats.org/officeDocument/2006/relationships/hyperlink" Target="https://meteor.aihw.gov.au/content/641349" TargetMode="External" Id="Rfcb41d82ab3349c1" /><Relationship Type="http://schemas.openxmlformats.org/officeDocument/2006/relationships/hyperlink" Target="https://meteor.aihw.gov.au/content/659725" TargetMode="External" Id="R8906cd01c51642c1" /><Relationship Type="http://schemas.openxmlformats.org/officeDocument/2006/relationships/hyperlink" Target="https://meteor.aihw.gov.au/content/394352" TargetMode="External" Id="Ra671da809ca7492a" /><Relationship Type="http://schemas.openxmlformats.org/officeDocument/2006/relationships/hyperlink" Target="https://meteor.aihw.gov.au/content/641349" TargetMode="External" Id="R61838317f88b4bad" /><Relationship Type="http://schemas.openxmlformats.org/officeDocument/2006/relationships/hyperlink" Target="https://meteor.aihw.gov.au/content/721641" TargetMode="External" Id="Re4740a08de8946fb" /><Relationship Type="http://schemas.openxmlformats.org/officeDocument/2006/relationships/hyperlink" Target="https://meteor.aihw.gov.au/content/719790" TargetMode="External" Id="R6bd144fc9737414c" /><Relationship Type="http://schemas.openxmlformats.org/officeDocument/2006/relationships/hyperlink" Target="https://meteor.aihw.gov.au/content/394352" TargetMode="External" Id="R7d3670f28db04e32" /><Relationship Type="http://schemas.openxmlformats.org/officeDocument/2006/relationships/hyperlink" Target="https://meteor.aihw.gov.au/content/704699" TargetMode="External" Id="Rffe6852e501d41f6" /><Relationship Type="http://schemas.openxmlformats.org/officeDocument/2006/relationships/hyperlink" Target="https://meteor.aihw.gov.au/content/728333" TargetMode="External" Id="R33f1af58035245c3" /><Relationship Type="http://schemas.openxmlformats.org/officeDocument/2006/relationships/hyperlink" Target="https://meteor.aihw.gov.au/RegistrationAuthority/12" TargetMode="External" Id="R702dcdd5691a4dd9" /><Relationship Type="http://schemas.openxmlformats.org/officeDocument/2006/relationships/hyperlink" Target="https://meteor.aihw.gov.au/content/715192" TargetMode="External" Id="Rf33853fa979b4a1e" /><Relationship Type="http://schemas.openxmlformats.org/officeDocument/2006/relationships/hyperlink" Target="https://meteor.aihw.gov.au/RegistrationAuthority/12" TargetMode="External" Id="R6a7534b4e2da412b" /><Relationship Type="http://schemas.openxmlformats.org/officeDocument/2006/relationships/hyperlink" Target="https://meteor.aihw.gov.au/content/715368" TargetMode="External" Id="R4780cb8b17894484" /><Relationship Type="http://schemas.openxmlformats.org/officeDocument/2006/relationships/hyperlink" Target="https://meteor.aihw.gov.au/RegistrationAuthority/12" TargetMode="External" Id="R41376d9a451c40bf" /><Relationship Type="http://schemas.openxmlformats.org/officeDocument/2006/relationships/hyperlink" Target="https://meteor.aihw.gov.au/content/716490" TargetMode="External" Id="R2466dd37cfa54c02" /><Relationship Type="http://schemas.openxmlformats.org/officeDocument/2006/relationships/hyperlink" Target="https://meteor.aihw.gov.au/RegistrationAuthority/12" TargetMode="External" Id="Rc4bef9c94f274201" /><Relationship Type="http://schemas.openxmlformats.org/officeDocument/2006/relationships/hyperlink" Target="https://meteor.aihw.gov.au/content/725797" TargetMode="External" Id="R2b121dc00fed4051" /><Relationship Type="http://schemas.openxmlformats.org/officeDocument/2006/relationships/hyperlink" Target="https://meteor.aihw.gov.au/RegistrationAuthority/12" TargetMode="External" Id="Rbfcd5f9653a149fd" /><Relationship Type="http://schemas.openxmlformats.org/officeDocument/2006/relationships/hyperlink" Target="https://meteor.aihw.gov.au/content/716530" TargetMode="External" Id="R31fc68f4fee3475f" /><Relationship Type="http://schemas.openxmlformats.org/officeDocument/2006/relationships/hyperlink" Target="https://meteor.aihw.gov.au/RegistrationAuthority/12" TargetMode="External" Id="R3367d34994d44e64" /><Relationship Type="http://schemas.openxmlformats.org/officeDocument/2006/relationships/hyperlink" Target="https://meteor.aihw.gov.au/content/725793" TargetMode="External" Id="R36bf2745c1de40e4" /><Relationship Type="http://schemas.openxmlformats.org/officeDocument/2006/relationships/hyperlink" Target="https://meteor.aihw.gov.au/RegistrationAuthority/12" TargetMode="External" Id="R299b6337130141de" /><Relationship Type="http://schemas.openxmlformats.org/officeDocument/2006/relationships/hyperlink" Target="https://meteor.aihw.gov.au/content/716786" TargetMode="External" Id="R4d9cf9a3782d4cb3" /><Relationship Type="http://schemas.openxmlformats.org/officeDocument/2006/relationships/hyperlink" Target="https://meteor.aihw.gov.au/RegistrationAuthority/12" TargetMode="External" Id="R6d77628d882b4dfa" /><Relationship Type="http://schemas.openxmlformats.org/officeDocument/2006/relationships/hyperlink" Target="https://meteor.aihw.gov.au/content/725779" TargetMode="External" Id="R0cb9c0c925594b44" /><Relationship Type="http://schemas.openxmlformats.org/officeDocument/2006/relationships/hyperlink" Target="https://meteor.aihw.gov.au/RegistrationAuthority/12" TargetMode="External" Id="R871126ae808d49c7" /></Relationships>
</file>

<file path=word/_rels/header1.xml.rels>&#65279;<?xml version="1.0" encoding="utf-8"?><Relationships xmlns="http://schemas.openxmlformats.org/package/2006/relationships"><Relationship Type="http://schemas.openxmlformats.org/officeDocument/2006/relationships/image" Target="/media/image.png" Id="R5a297c6d48a24a21" /></Relationships>
</file>