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69c67d6c95c4250"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2.1.4–Selected potentially preventable hospitalisations,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2.1.4–Selected potentially preventable hospitalisations,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2.1.4–Selected potentially preventable hospitalisations,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Selected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ff35948ec8473d">
              <w:r>
                <w:rPr>
                  <w:rStyle w:val="Hyperlink"/>
                  <w:color w:val="244061"/>
                </w:rPr>
                <w:t xml:space="preserve">Health</w:t>
              </w:r>
            </w:hyperlink>
            <w:r>
              <w:rPr>
                <w:rStyle w:val="row-content"/>
                <w:color w:val="244061"/>
              </w:rPr>
              <w:t xml:space="preserve">, Superseded 01/12/2020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Admission to hospital for a condition where the hospitalisation could have potentially been prevented through the provision of appropriate individualised preventative health interventions and early disease management usually delivered in primary care and community-based care settings (including by general practitioners, medical specialists, dentists, nurses and allied health professionals).</w:t>
            </w:r>
          </w:p>
          <w:p>
            <w:pPr>
              <w:spacing w:after="160"/>
            </w:pPr>
            <w:r>
              <w:rPr>
                <w:rStyle w:val="row-content-rich-text"/>
              </w:rPr>
              <w:t xml:space="preserve">For example, hospitalisations for conditions such as measles and tetanus can be prevented by primary health care through vaccination to prevent the conditions from occurring. Hospitalisations for patients presenting with acute pharyngitis can be prevented through timely treatment in primary health care settings using antibiotics, and hospitalisations for diabetes complications can be prevented through appropriate, long-term management of diabetes by primary and community health practitioners.</w:t>
            </w:r>
          </w:p>
          <w:p>
            <w:pPr/>
            <w:r>
              <w:rPr>
                <w:rStyle w:val="row-content-rich-text"/>
              </w:rPr>
              <w:t xml:space="preserve">The above definition excludes conditions that are preventable predominately through population health interventions, such as those for clean air and water.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fa248e0e8a049e4">
              <w:r>
                <w:rPr>
                  <w:rStyle w:val="Hyperlink"/>
                </w:rPr>
                <w:t xml:space="preserve">Australian Health Performance Framework, 2019</w:t>
              </w:r>
            </w:hyperlink>
          </w:p>
          <w:p>
            <w:pPr>
              <w:spacing w:before="0" w:after="0"/>
            </w:pPr>
            <w:r>
              <w:rPr>
                <w:rStyle w:val="row-content"/>
                <w:color w:val="244061"/>
              </w:rPr>
              <w:t xml:space="preserve">       </w:t>
            </w:r>
            <w:hyperlink w:history="true" r:id="R4ef108a14fff42f2">
              <w:r>
                <w:rPr>
                  <w:rStyle w:val="Hyperlink"/>
                  <w:color w:val="244061"/>
                </w:rPr>
                <w:t xml:space="preserve">Health</w:t>
              </w:r>
            </w:hyperlink>
            <w:r>
              <w:rPr>
                <w:rStyle w:val="row-content"/>
                <w:color w:val="244061"/>
              </w:rPr>
              <w:t xml:space="preserve">, Superseded 13/10/2021</w:t>
            </w:r>
          </w:p>
          <w:p>
            <w:r>
              <w:br/>
            </w:r>
            <w:hyperlink w:history="true" r:id="R5b697e7ee4254f96">
              <w:r>
                <w:rPr>
                  <w:rStyle w:val="Hyperlink"/>
                </w:rPr>
                <w:t xml:space="preserve">Australian Health Performance Framework, 2019</w:t>
              </w:r>
            </w:hyperlink>
          </w:p>
          <w:p>
            <w:pPr>
              <w:spacing w:before="0" w:after="0"/>
            </w:pPr>
            <w:r>
              <w:rPr>
                <w:rStyle w:val="row-content"/>
                <w:color w:val="244061"/>
              </w:rPr>
              <w:t xml:space="preserve">       </w:t>
            </w:r>
            <w:hyperlink w:history="true" r:id="Rdc727ac6051e42d9">
              <w:r>
                <w:rPr>
                  <w:rStyle w:val="Hyperlink"/>
                  <w:color w:val="244061"/>
                </w:rPr>
                <w:t xml:space="preserve">Health</w:t>
              </w:r>
            </w:hyperlink>
            <w:r>
              <w:rPr>
                <w:rStyle w:val="row-content"/>
                <w:color w:val="244061"/>
              </w:rPr>
              <w:t xml:space="preserve">, Superseded 13/10/2021</w:t>
            </w:r>
          </w:p>
          <w:p>
            <w:r>
              <w:br/>
            </w:r>
          </w:p>
        </w:tc>
      </w:tr>
    </w:tbl>
    <w:p>
      <w:pPr>
        <w:pStyle w:val="Caption"/>
      </w:pPr>
      <w:r>
        <w:fldChar w:fldCharType="begin"/>
      </w:r>
      <w:r>
        <w:instrText xml:space="preserve"> SEQ TABLE \* ARABIC </w:instrText>
      </w:r>
      <w:r>
        <w:fldChar w:fldCharType="end"/>
      </w:r>
      <w:r>
        <w:rPr>
          <w:rStyle w:val="row-content-rich-text"/>
          <w:b/>
        </w:rPr>
        <w:t xml:space="preserve">Table 1: ICD-10-AM, 10th edition codes used for identifying potentially avoidable hospitalisations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the codes below are from ICD-10-AM 10th edition.</w:t>
            </w:r>
          </w:p>
          <w:tbl>
            <w:tblPr>
              <w:tblStyle w:val="TableGrid"/>
              <w:tblW w:w="5000" w:type="pct"/>
              <w:tblLayout w:type="autofit"/>
            </w:tblPr>
            <w:tblGrid>
              <w:gridCol/>
              <w:gridCol/>
              <w:gridCol/>
              <w:gridCol/>
            </w:tblGrid>
            <w:tr>
              <w:trPr/>
              <w:tc>
                <w:tcPr>
                  <w:tcW w:w="250" w:type="pct"/>
                  <w:vAlign w:val="top"/>
                </w:tcPr>
                <w:p>
                  <w:pPr/>
                  <w:r>
                    <w:rPr>
                      <w:rStyle w:val="row-content-rich-text"/>
                    </w:rPr>
                    <w:t xml:space="preserve"> </w:t>
                  </w:r>
                  <w:r>
                    <w:rPr>
                      <w:rStyle w:val="row-content-rich-text"/>
                      <w:b/>
                    </w:rPr>
                    <w:t xml:space="preserve">Category</w:t>
                  </w:r>
                </w:p>
              </w:tc>
              <w:tc>
                <w:tcPr>
                  <w:tcW w:w="200" w:type="pct"/>
                  <w:vAlign w:val="top"/>
                </w:tcPr>
                <w:p>
                  <w:r>
                    <w:rPr>
                      <w:b/>
                    </w:rPr>
                    <w:t xml:space="preserve">ICD-10-AM codes</w:t>
                  </w:r>
                </w:p>
              </w:tc>
              <w:tc>
                <w:tcPr>
                  <w:tcW w:w="1950" w:type="pct"/>
                  <w:vAlign w:val="top"/>
                </w:tcPr>
                <w:p>
                  <w:r>
                    <w:rPr>
                      <w:b/>
                    </w:rPr>
                    <w:t xml:space="preserve">ICD-10-AM description</w:t>
                  </w:r>
                </w:p>
              </w:tc>
              <w:tc>
                <w:tcPr>
                  <w:tcW w:w="2450" w:type="pct"/>
                  <w:vAlign w:val="top"/>
                </w:tcPr>
                <w:p>
                  <w:r>
                    <w:rPr>
                      <w:b/>
                    </w:rPr>
                    <w:t xml:space="preserve">Additional requirements</w:t>
                  </w:r>
                </w:p>
              </w:tc>
            </w:tr>
            <w:tr>
              <w:trPr/>
              <w:tc>
                <w:tcPr>
                  <w:tcW w:w="250" w:type="pct"/>
                  <w:vAlign w:val="top"/>
                </w:tcPr>
                <w:p>
                  <w:r>
                    <w:rPr>
                      <w:b/>
                    </w:rPr>
                    <w:t xml:space="preserve">Vaccine-preventable conditions</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Pneumonia and influenza (vaccine-preventable)</w:t>
                  </w:r>
                </w:p>
              </w:tc>
              <w:tc>
                <w:tcPr>
                  <w:tcW w:w="200" w:type="pct"/>
                  <w:vAlign w:val="top"/>
                </w:tcPr>
                <w:p>
                  <w:r>
                    <w:t xml:space="preserve">J10</w:t>
                  </w:r>
                </w:p>
              </w:tc>
              <w:tc>
                <w:tcPr>
                  <w:tcW w:w="1950" w:type="pct"/>
                  <w:vAlign w:val="top"/>
                </w:tcPr>
                <w:p>
                  <w:r>
                    <w:t xml:space="preserve">Influenza due to other identified influenza virus</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J11</w:t>
                  </w:r>
                </w:p>
              </w:tc>
              <w:tc>
                <w:tcPr>
                  <w:tcW w:w="1950" w:type="pct"/>
                  <w:vAlign w:val="top"/>
                </w:tcPr>
                <w:p>
                  <w:r>
                    <w:t xml:space="preserve">Influenza, virus not identified</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J13</w:t>
                  </w:r>
                </w:p>
              </w:tc>
              <w:tc>
                <w:tcPr>
                  <w:tcW w:w="1950" w:type="pct"/>
                  <w:vAlign w:val="top"/>
                </w:tcPr>
                <w:p>
                  <w:r>
                    <w:t xml:space="preserve">Pneumonia due to </w:t>
                  </w:r>
                  <w:r>
                    <w:rPr>
                      <w:i/>
                    </w:rPr>
                    <w:t xml:space="preserve">Streptococcus pneumoniae</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J14</w:t>
                  </w:r>
                </w:p>
              </w:tc>
              <w:tc>
                <w:tcPr>
                  <w:tcW w:w="1950" w:type="pct"/>
                  <w:vAlign w:val="top"/>
                </w:tcPr>
                <w:p>
                  <w:r>
                    <w:t xml:space="preserve">Pneumonia due to </w:t>
                  </w:r>
                  <w:r>
                    <w:rPr>
                      <w:i/>
                    </w:rPr>
                    <w:t xml:space="preserve">Haemophilus influenzae</w:t>
                  </w:r>
                </w:p>
              </w:tc>
              <w:tc>
                <w:tcPr>
                  <w:tcW w:w="2450" w:type="pct"/>
                  <w:vAlign w:val="top"/>
                </w:tcPr>
                <w:p>
                  <w:r>
                    <w:t xml:space="preserve">In any diagnosis.</w:t>
                  </w:r>
                </w:p>
                <w:p>
                  <w:r>
                    <w:t xml:space="preserve">Exclude people under 2 months.</w:t>
                  </w:r>
                </w:p>
              </w:tc>
            </w:tr>
            <w:tr>
              <w:trPr/>
              <w:tc>
                <w:tcPr>
                  <w:tcW w:w="250" w:type="pct"/>
                  <w:vAlign w:val="top"/>
                </w:tcPr>
                <w:p>
                  <w:r>
                    <w:t xml:space="preserve">Other vaccine-preventable conditions</w:t>
                  </w:r>
                </w:p>
              </w:tc>
              <w:tc>
                <w:tcPr>
                  <w:tcW w:w="200" w:type="pct"/>
                  <w:vAlign w:val="top"/>
                </w:tcPr>
                <w:p>
                  <w:r>
                    <w:t xml:space="preserve">A08.0</w:t>
                  </w:r>
                </w:p>
              </w:tc>
              <w:tc>
                <w:tcPr>
                  <w:tcW w:w="1950" w:type="pct"/>
                  <w:vAlign w:val="top"/>
                </w:tcPr>
                <w:p>
                  <w:r>
                    <w:t xml:space="preserve">Rotaviral enteritis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A35</w:t>
                  </w:r>
                </w:p>
              </w:tc>
              <w:tc>
                <w:tcPr>
                  <w:tcW w:w="1950" w:type="pct"/>
                  <w:vAlign w:val="top"/>
                </w:tcPr>
                <w:p>
                  <w:r>
                    <w:t xml:space="preserve">Other tetanus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A36</w:t>
                  </w:r>
                </w:p>
              </w:tc>
              <w:tc>
                <w:tcPr>
                  <w:tcW w:w="1950" w:type="pct"/>
                  <w:vAlign w:val="top"/>
                </w:tcPr>
                <w:p>
                  <w:r>
                    <w:t xml:space="preserve">Diphtheria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A37</w:t>
                  </w:r>
                </w:p>
              </w:tc>
              <w:tc>
                <w:tcPr>
                  <w:tcW w:w="1950" w:type="pct"/>
                  <w:vAlign w:val="top"/>
                </w:tcPr>
                <w:p>
                  <w:r>
                    <w:t xml:space="preserve">Whooping cough</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A80</w:t>
                  </w:r>
                </w:p>
              </w:tc>
              <w:tc>
                <w:tcPr>
                  <w:tcW w:w="1950" w:type="pct"/>
                  <w:vAlign w:val="top"/>
                </w:tcPr>
                <w:p>
                  <w:r>
                    <w:t xml:space="preserve">Acute poliomyelitis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B01</w:t>
                  </w:r>
                </w:p>
              </w:tc>
              <w:tc>
                <w:tcPr>
                  <w:tcW w:w="1950" w:type="pct"/>
                  <w:vAlign w:val="top"/>
                </w:tcPr>
                <w:p>
                  <w:r>
                    <w:t xml:space="preserve">Varicella [chicken pox]</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B05</w:t>
                  </w:r>
                </w:p>
              </w:tc>
              <w:tc>
                <w:tcPr>
                  <w:tcW w:w="1950" w:type="pct"/>
                  <w:vAlign w:val="top"/>
                </w:tcPr>
                <w:p>
                  <w:r>
                    <w:t xml:space="preserve">Measles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B06</w:t>
                  </w:r>
                </w:p>
              </w:tc>
              <w:tc>
                <w:tcPr>
                  <w:tcW w:w="1950" w:type="pct"/>
                  <w:vAlign w:val="top"/>
                </w:tcPr>
                <w:p>
                  <w:r>
                    <w:t xml:space="preserve">Rubella [German measles]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B16.1</w:t>
                  </w:r>
                </w:p>
              </w:tc>
              <w:tc>
                <w:tcPr>
                  <w:tcW w:w="1950" w:type="pct"/>
                  <w:vAlign w:val="top"/>
                </w:tcPr>
                <w:p>
                  <w:r>
                    <w:t xml:space="preserve">Acute hepatitis B with delta-agent (coinfection) without hepatic coma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B16.9</w:t>
                  </w:r>
                </w:p>
              </w:tc>
              <w:tc>
                <w:tcPr>
                  <w:tcW w:w="1950" w:type="pct"/>
                  <w:vAlign w:val="top"/>
                </w:tcPr>
                <w:p>
                  <w:r>
                    <w:t xml:space="preserve">Acute hepatitis B without delta-agent and without hepatic coma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B18.0</w:t>
                  </w:r>
                </w:p>
              </w:tc>
              <w:tc>
                <w:tcPr>
                  <w:tcW w:w="1950" w:type="pct"/>
                  <w:vAlign w:val="top"/>
                </w:tcPr>
                <w:p>
                  <w:r>
                    <w:t xml:space="preserve">Chronic viral hepatitis B with delta-agent</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B18.1</w:t>
                  </w:r>
                </w:p>
              </w:tc>
              <w:tc>
                <w:tcPr>
                  <w:tcW w:w="1950" w:type="pct"/>
                  <w:vAlign w:val="top"/>
                </w:tcPr>
                <w:p>
                  <w:r>
                    <w:t xml:space="preserve">Chronic viral hepatitis B without delta-agent</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B26</w:t>
                  </w:r>
                </w:p>
              </w:tc>
              <w:tc>
                <w:tcPr>
                  <w:tcW w:w="1950" w:type="pct"/>
                  <w:vAlign w:val="top"/>
                </w:tcPr>
                <w:p>
                  <w:r>
                    <w:t xml:space="preserve">Mumps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G00.0</w:t>
                  </w:r>
                </w:p>
              </w:tc>
              <w:tc>
                <w:tcPr>
                  <w:tcW w:w="1950" w:type="pct"/>
                  <w:vAlign w:val="top"/>
                </w:tcPr>
                <w:p>
                  <w:r>
                    <w:t xml:space="preserve">Haemophilus meningitis</w:t>
                  </w:r>
                </w:p>
              </w:tc>
              <w:tc>
                <w:tcPr>
                  <w:tcW w:w="2450" w:type="pct"/>
                  <w:vAlign w:val="top"/>
                </w:tcPr>
                <w:p>
                  <w:r>
                    <w:t xml:space="preserve">In any diagnosis.</w:t>
                  </w:r>
                </w:p>
              </w:tc>
            </w:tr>
            <w:tr>
              <w:trPr/>
              <w:tc>
                <w:tcPr>
                  <w:tcW w:w="250" w:type="pct"/>
                  <w:vAlign w:val="top"/>
                </w:tcPr>
                <w:p>
                  <w:r>
                    <w:rPr>
                      <w:b/>
                    </w:rPr>
                    <w:t xml:space="preserve">Chronic</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Asthma</w:t>
                  </w:r>
                </w:p>
              </w:tc>
              <w:tc>
                <w:tcPr>
                  <w:tcW w:w="200" w:type="pct"/>
                  <w:vAlign w:val="top"/>
                </w:tcPr>
                <w:p>
                  <w:r>
                    <w:t xml:space="preserve">J45</w:t>
                  </w:r>
                </w:p>
              </w:tc>
              <w:tc>
                <w:tcPr>
                  <w:tcW w:w="1950" w:type="pct"/>
                  <w:vAlign w:val="top"/>
                </w:tcPr>
                <w:p>
                  <w:r>
                    <w:t xml:space="preserve">Asthma</w:t>
                  </w:r>
                </w:p>
              </w:tc>
              <w:tc>
                <w:tcPr>
                  <w:tcW w:w="2450" w:type="pct"/>
                  <w:vAlign w:val="top"/>
                </w:tcPr>
                <w:p>
                  <w:r>
                    <w:t xml:space="preserve">As principal diagnosis.</w:t>
                  </w:r>
                </w:p>
                <w:p>
                  <w:r>
                    <w:t xml:space="preserve">Exclude children aged less than 4 years.</w:t>
                  </w:r>
                </w:p>
              </w:tc>
            </w:tr>
            <w:tr>
              <w:trPr/>
              <w:tc>
                <w:tcPr>
                  <w:tcW w:w="250" w:type="pct"/>
                  <w:vAlign w:val="top"/>
                </w:tcPr>
                <w:p>
                  <w:r>
                    <w:t xml:space="preserve"> </w:t>
                  </w:r>
                </w:p>
              </w:tc>
              <w:tc>
                <w:tcPr>
                  <w:tcW w:w="200" w:type="pct"/>
                  <w:vAlign w:val="top"/>
                </w:tcPr>
                <w:p>
                  <w:r>
                    <w:t xml:space="preserve">J46</w:t>
                  </w:r>
                </w:p>
              </w:tc>
              <w:tc>
                <w:tcPr>
                  <w:tcW w:w="1950" w:type="pct"/>
                  <w:vAlign w:val="top"/>
                </w:tcPr>
                <w:p>
                  <w:r>
                    <w:t xml:space="preserve">Status asthmaticus</w:t>
                  </w:r>
                </w:p>
              </w:tc>
              <w:tc>
                <w:tcPr>
                  <w:tcW w:w="2450" w:type="pct"/>
                  <w:vAlign w:val="top"/>
                </w:tcPr>
                <w:p>
                  <w:r>
                    <w:t xml:space="preserve">As principal diagnosis.</w:t>
                  </w:r>
                </w:p>
                <w:p>
                  <w:r>
                    <w:t xml:space="preserve">Exclude children aged less than 4 years.</w:t>
                  </w:r>
                </w:p>
              </w:tc>
            </w:tr>
            <w:tr>
              <w:trPr/>
              <w:tc>
                <w:tcPr>
                  <w:tcW w:w="250" w:type="pct"/>
                  <w:vAlign w:val="top"/>
                </w:tcPr>
                <w:p>
                  <w:r>
                    <w:t xml:space="preserve">Congestive cardiac failure</w:t>
                  </w:r>
                </w:p>
              </w:tc>
              <w:tc>
                <w:tcPr>
                  <w:tcW w:w="200" w:type="pct"/>
                  <w:vAlign w:val="top"/>
                </w:tcPr>
                <w:p>
                  <w:r>
                    <w:t xml:space="preserve">I50</w:t>
                  </w:r>
                </w:p>
              </w:tc>
              <w:tc>
                <w:tcPr>
                  <w:tcW w:w="1950" w:type="pct"/>
                  <w:vAlign w:val="top"/>
                </w:tcPr>
                <w:p>
                  <w:r>
                    <w:t xml:space="preserve">Heart failure</w:t>
                  </w:r>
                </w:p>
              </w:tc>
              <w:tc>
                <w:tcPr>
                  <w:tcW w:w="2450" w:type="pct"/>
                  <w:vAlign w:val="top"/>
                </w:tcPr>
                <w:p>
                  <w:r>
                    <w:t xml:space="preserve">As principal diagnosis.</w:t>
                  </w:r>
                </w:p>
                <w:p>
                  <w:r>
                    <w:t xml:space="preserve">Exclude cases with the following cardiac procedure codes:</w:t>
                  </w:r>
                </w:p>
                <w:p>
                  <w:r>
                    <w:t xml:space="preserve">Blocks [600]–[606], [608]–[650], [653]–[657], [660]–[664], [666], [669]–[682], [684]–[691], [693], [705]–[707], [717] and codes 33172-00[715], 33827-01[733], 34800-00[726], 35412-00[11], 38721-01[733], 90217-02[734], 90215-02[732].</w:t>
                  </w:r>
                </w:p>
              </w:tc>
            </w:tr>
            <w:tr>
              <w:trPr/>
              <w:tc>
                <w:tcPr>
                  <w:tcW w:w="250" w:type="pct"/>
                  <w:vAlign w:val="top"/>
                </w:tcPr>
                <w:p>
                  <w:r>
                    <w:t xml:space="preserve"> </w:t>
                  </w:r>
                </w:p>
              </w:tc>
              <w:tc>
                <w:tcPr>
                  <w:tcW w:w="200" w:type="pct"/>
                  <w:vAlign w:val="top"/>
                </w:tcPr>
                <w:p>
                  <w:r>
                    <w:t xml:space="preserve">I11.0</w:t>
                  </w:r>
                </w:p>
              </w:tc>
              <w:tc>
                <w:tcPr>
                  <w:tcW w:w="1950" w:type="pct"/>
                  <w:vAlign w:val="top"/>
                </w:tcPr>
                <w:p>
                  <w:r>
                    <w:t xml:space="preserve">Hypertensive heart disease with (congestive) heart failure</w:t>
                  </w:r>
                </w:p>
              </w:tc>
              <w:tc>
                <w:tcPr>
                  <w:tcW w:w="2450" w:type="pct"/>
                  <w:vAlign w:val="top"/>
                </w:tcPr>
                <w:p>
                  <w:r>
                    <w:t xml:space="preserve">As principal diagnosis.</w:t>
                  </w:r>
                </w:p>
                <w:p>
                  <w:r>
                    <w:t xml:space="preserve">Exclude cases with the following cardiac procedure codes:</w:t>
                  </w:r>
                </w:p>
                <w:p>
                  <w:r>
                    <w:t xml:space="preserve">Blocks [600]–[606], [608]–[650], [653]–[657], [660]–[664], [666], [669]–[682], [684]–[691], [693], [705]–[707], [717 and codes 33172-00[715], 33827-01[733], 34800-00[726], 35412-00[11], 38721-01[733], 90217-02[734], 90215-02[732].</w:t>
                  </w:r>
                </w:p>
              </w:tc>
            </w:tr>
            <w:tr>
              <w:trPr/>
              <w:tc>
                <w:tcPr>
                  <w:tcW w:w="250" w:type="pct"/>
                  <w:vAlign w:val="top"/>
                </w:tcPr>
                <w:p>
                  <w:r>
                    <w:t xml:space="preserve"> </w:t>
                  </w:r>
                </w:p>
              </w:tc>
              <w:tc>
                <w:tcPr>
                  <w:tcW w:w="200" w:type="pct"/>
                  <w:vAlign w:val="top"/>
                </w:tcPr>
                <w:p>
                  <w:r>
                    <w:t xml:space="preserve">J81</w:t>
                  </w:r>
                </w:p>
              </w:tc>
              <w:tc>
                <w:tcPr>
                  <w:tcW w:w="1950" w:type="pct"/>
                  <w:vAlign w:val="top"/>
                </w:tcPr>
                <w:p>
                  <w:r>
                    <w:t xml:space="preserve">Pulmonary oedema</w:t>
                  </w:r>
                </w:p>
              </w:tc>
              <w:tc>
                <w:tcPr>
                  <w:tcW w:w="2450" w:type="pct"/>
                  <w:vAlign w:val="top"/>
                </w:tcPr>
                <w:p>
                  <w:r>
                    <w:t xml:space="preserve">As principal diagnosis.</w:t>
                  </w:r>
                </w:p>
                <w:p>
                  <w:r>
                    <w:t xml:space="preserve">Exclude cases with the following cardiac procedure codes:</w:t>
                  </w:r>
                </w:p>
                <w:p>
                  <w:r>
                    <w:t xml:space="preserve">Blocks [600]–[606], [608]–[650], [653]–[657], [660]–[664], [666], [669]–[682], [684]–[691], [693], [705]–[707], [717 and codes 33172-00[715], 33827-01[733], 34800-00[726], 35412-00[11], 38721-01[733], 90217-02[734], 90215-02[732].</w:t>
                  </w:r>
                </w:p>
              </w:tc>
            </w:tr>
            <w:tr>
              <w:trPr/>
              <w:tc>
                <w:tcPr>
                  <w:tcW w:w="250" w:type="pct"/>
                  <w:vAlign w:val="top"/>
                </w:tcPr>
                <w:p>
                  <w:r>
                    <w:t xml:space="preserve">Diabetes complications</w:t>
                  </w:r>
                </w:p>
              </w:tc>
              <w:tc>
                <w:tcPr>
                  <w:tcW w:w="200" w:type="pct"/>
                  <w:vAlign w:val="top"/>
                </w:tcPr>
                <w:p>
                  <w:r>
                    <w:t xml:space="preserve">E10.0–E10.9</w:t>
                  </w:r>
                </w:p>
              </w:tc>
              <w:tc>
                <w:tcPr>
                  <w:tcW w:w="1950" w:type="pct"/>
                  <w:vAlign w:val="top"/>
                </w:tcPr>
                <w:p>
                  <w:r>
                    <w:t xml:space="preserve">Type 1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E11.0–E11.9</w:t>
                  </w:r>
                </w:p>
              </w:tc>
              <w:tc>
                <w:tcPr>
                  <w:tcW w:w="1950" w:type="pct"/>
                  <w:vAlign w:val="top"/>
                </w:tcPr>
                <w:p>
                  <w:r>
                    <w:t xml:space="preserve">Type 2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E13.0–E13.9</w:t>
                  </w:r>
                </w:p>
              </w:tc>
              <w:tc>
                <w:tcPr>
                  <w:tcW w:w="1950" w:type="pct"/>
                  <w:vAlign w:val="top"/>
                </w:tcPr>
                <w:p>
                  <w:r>
                    <w:t xml:space="preserve">Other specified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E14.0–E14.9</w:t>
                  </w:r>
                </w:p>
              </w:tc>
              <w:tc>
                <w:tcPr>
                  <w:tcW w:w="1950" w:type="pct"/>
                  <w:vAlign w:val="top"/>
                </w:tcPr>
                <w:p>
                  <w:r>
                    <w:t xml:space="preserve">Unspecified diabetes mellitus</w:t>
                  </w:r>
                </w:p>
              </w:tc>
              <w:tc>
                <w:tcPr>
                  <w:tcW w:w="2450" w:type="pct"/>
                  <w:vAlign w:val="top"/>
                </w:tcPr>
                <w:p>
                  <w:r>
                    <w:t xml:space="preserve">As principal diagnosis.</w:t>
                  </w:r>
                </w:p>
              </w:tc>
            </w:tr>
            <w:tr>
              <w:trPr/>
              <w:tc>
                <w:tcPr>
                  <w:tcW w:w="250" w:type="pct"/>
                  <w:vAlign w:val="top"/>
                </w:tcPr>
                <w:p>
                  <w:r>
                    <w:t xml:space="preserve">COPD</w:t>
                  </w:r>
                </w:p>
              </w:tc>
              <w:tc>
                <w:tcPr>
                  <w:tcW w:w="200" w:type="pct"/>
                  <w:vAlign w:val="top"/>
                </w:tcPr>
                <w:p>
                  <w:r>
                    <w:t xml:space="preserve">J20</w:t>
                  </w:r>
                </w:p>
              </w:tc>
              <w:tc>
                <w:tcPr>
                  <w:tcW w:w="1950" w:type="pct"/>
                  <w:vAlign w:val="top"/>
                </w:tcPr>
                <w:p>
                  <w:r>
                    <w:t xml:space="preserve">Acute bronchitis</w:t>
                  </w:r>
                </w:p>
              </w:tc>
              <w:tc>
                <w:tcPr>
                  <w:tcW w:w="2450" w:type="pct"/>
                  <w:vAlign w:val="top"/>
                </w:tcPr>
                <w:p>
                  <w:r>
                    <w:t xml:space="preserve">As principal diagnosis.</w:t>
                  </w:r>
                </w:p>
                <w:p>
                  <w:r>
                    <w:t xml:space="preserve">Only with additional diagnoses of J41, J42, J43, J44.</w:t>
                  </w:r>
                </w:p>
              </w:tc>
            </w:tr>
            <w:tr>
              <w:trPr/>
              <w:tc>
                <w:tcPr>
                  <w:tcW w:w="250" w:type="pct"/>
                  <w:vAlign w:val="top"/>
                </w:tcPr>
                <w:p>
                  <w:r>
                    <w:t xml:space="preserve"> </w:t>
                  </w:r>
                </w:p>
              </w:tc>
              <w:tc>
                <w:tcPr>
                  <w:tcW w:w="200" w:type="pct"/>
                  <w:vAlign w:val="top"/>
                </w:tcPr>
                <w:p>
                  <w:r>
                    <w:t xml:space="preserve">J41</w:t>
                  </w:r>
                </w:p>
              </w:tc>
              <w:tc>
                <w:tcPr>
                  <w:tcW w:w="1950" w:type="pct"/>
                  <w:vAlign w:val="top"/>
                </w:tcPr>
                <w:p>
                  <w:r>
                    <w:t xml:space="preserve">Simple and mucopurulent chronic bronchitis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J42</w:t>
                  </w:r>
                </w:p>
              </w:tc>
              <w:tc>
                <w:tcPr>
                  <w:tcW w:w="1950" w:type="pct"/>
                  <w:vAlign w:val="top"/>
                </w:tcPr>
                <w:p>
                  <w:r>
                    <w:t xml:space="preserve">Unspecified chronic bronchitis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J43</w:t>
                  </w:r>
                </w:p>
              </w:tc>
              <w:tc>
                <w:tcPr>
                  <w:tcW w:w="1950" w:type="pct"/>
                  <w:vAlign w:val="top"/>
                </w:tcPr>
                <w:p>
                  <w:r>
                    <w:t xml:space="preserve">Emphysema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J44</w:t>
                  </w:r>
                </w:p>
              </w:tc>
              <w:tc>
                <w:tcPr>
                  <w:tcW w:w="1950" w:type="pct"/>
                  <w:vAlign w:val="top"/>
                </w:tcPr>
                <w:p>
                  <w:r>
                    <w:t xml:space="preserve">Other chronic obstructive pulmonary disease</w:t>
                  </w:r>
                </w:p>
              </w:tc>
              <w:tc>
                <w:tcPr>
                  <w:tcW w:w="2450" w:type="pct"/>
                  <w:vAlign w:val="top"/>
                </w:tcPr>
                <w:p>
                  <w:r>
                    <w:t xml:space="preserve">As principal diagnosis.</w:t>
                  </w:r>
                </w:p>
              </w:tc>
            </w:tr>
            <w:tr>
              <w:trPr/>
              <w:tc>
                <w:tcPr>
                  <w:tcW w:w="250" w:type="pct"/>
                  <w:vAlign w:val="top"/>
                </w:tcPr>
                <w:p>
                  <w:r>
                    <w:t xml:space="preserve">Bronchiectasis</w:t>
                  </w:r>
                </w:p>
              </w:tc>
              <w:tc>
                <w:tcPr>
                  <w:tcW w:w="200" w:type="pct"/>
                  <w:vAlign w:val="top"/>
                </w:tcPr>
                <w:p>
                  <w:r>
                    <w:t xml:space="preserve">J47</w:t>
                  </w:r>
                </w:p>
              </w:tc>
              <w:tc>
                <w:tcPr>
                  <w:tcW w:w="1950" w:type="pct"/>
                  <w:vAlign w:val="top"/>
                </w:tcPr>
                <w:p>
                  <w:r>
                    <w:t xml:space="preserve">Bronchiectasis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J20</w:t>
                  </w:r>
                </w:p>
              </w:tc>
              <w:tc>
                <w:tcPr>
                  <w:tcW w:w="1950" w:type="pct"/>
                  <w:vAlign w:val="top"/>
                </w:tcPr>
                <w:p>
                  <w:r>
                    <w:t xml:space="preserve">Acute bronchitis</w:t>
                  </w:r>
                </w:p>
              </w:tc>
              <w:tc>
                <w:tcPr>
                  <w:tcW w:w="2450" w:type="pct"/>
                  <w:vAlign w:val="top"/>
                </w:tcPr>
                <w:p>
                  <w:r>
                    <w:t xml:space="preserve">As principal diagnosis.</w:t>
                  </w:r>
                </w:p>
                <w:p>
                  <w:r>
                    <w:t xml:space="preserve">Only with additional diagnosis of J47.</w:t>
                  </w:r>
                </w:p>
              </w:tc>
            </w:tr>
            <w:tr>
              <w:trPr/>
              <w:tc>
                <w:tcPr>
                  <w:tcW w:w="250" w:type="pct"/>
                  <w:vAlign w:val="top"/>
                </w:tcPr>
                <w:p>
                  <w:r>
                    <w:t xml:space="preserve">Angina</w:t>
                  </w:r>
                </w:p>
              </w:tc>
              <w:tc>
                <w:tcPr>
                  <w:tcW w:w="200" w:type="pct"/>
                  <w:vAlign w:val="top"/>
                </w:tcPr>
                <w:p>
                  <w:r>
                    <w:t xml:space="preserve">I20</w:t>
                  </w:r>
                </w:p>
              </w:tc>
              <w:tc>
                <w:tcPr>
                  <w:tcW w:w="1950" w:type="pct"/>
                  <w:vAlign w:val="top"/>
                </w:tcPr>
                <w:p>
                  <w:r>
                    <w:t xml:space="preserve">Angina pectoris</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I24.0</w:t>
                  </w:r>
                </w:p>
              </w:tc>
              <w:tc>
                <w:tcPr>
                  <w:tcW w:w="1950" w:type="pct"/>
                  <w:vAlign w:val="top"/>
                </w:tcPr>
                <w:p>
                  <w:r>
                    <w:t xml:space="preserve">Coronary thrombosis not resulting in myocardial infarction</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I24.8</w:t>
                  </w:r>
                </w:p>
              </w:tc>
              <w:tc>
                <w:tcPr>
                  <w:tcW w:w="1950" w:type="pct"/>
                  <w:vAlign w:val="top"/>
                </w:tcPr>
                <w:p>
                  <w:r>
                    <w:t xml:space="preserve">Other forms of acute ischaemic heart disease</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I24.9</w:t>
                  </w:r>
                </w:p>
              </w:tc>
              <w:tc>
                <w:tcPr>
                  <w:tcW w:w="1950" w:type="pct"/>
                  <w:vAlign w:val="top"/>
                </w:tcPr>
                <w:p>
                  <w:r>
                    <w:t xml:space="preserve">Acute ischaemic heart disease, unspecified</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Iron deficiency anaemia</w:t>
                  </w:r>
                </w:p>
              </w:tc>
              <w:tc>
                <w:tcPr>
                  <w:tcW w:w="200" w:type="pct"/>
                  <w:vAlign w:val="top"/>
                </w:tcPr>
                <w:p>
                  <w:r>
                    <w:t xml:space="preserve">D50.1</w:t>
                  </w:r>
                </w:p>
              </w:tc>
              <w:tc>
                <w:tcPr>
                  <w:tcW w:w="1950" w:type="pct"/>
                  <w:vAlign w:val="top"/>
                </w:tcPr>
                <w:p>
                  <w:r>
                    <w:t xml:space="preserve">Sideropenic dysphagia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D50.8</w:t>
                  </w:r>
                </w:p>
              </w:tc>
              <w:tc>
                <w:tcPr>
                  <w:tcW w:w="1950" w:type="pct"/>
                  <w:vAlign w:val="top"/>
                </w:tcPr>
                <w:p>
                  <w:r>
                    <w:t xml:space="preserve">Other iron deficiency anaemias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D50.9</w:t>
                  </w:r>
                </w:p>
              </w:tc>
              <w:tc>
                <w:tcPr>
                  <w:tcW w:w="1950" w:type="pct"/>
                  <w:vAlign w:val="top"/>
                </w:tcPr>
                <w:p>
                  <w:r>
                    <w:t xml:space="preserve">Iron deficiency anaemia, unspecified</w:t>
                  </w:r>
                </w:p>
              </w:tc>
              <w:tc>
                <w:tcPr>
                  <w:tcW w:w="2450" w:type="pct"/>
                  <w:vAlign w:val="top"/>
                </w:tcPr>
                <w:p>
                  <w:r>
                    <w:t xml:space="preserve">As principal diagnosis.</w:t>
                  </w:r>
                </w:p>
              </w:tc>
            </w:tr>
            <w:tr>
              <w:trPr/>
              <w:tc>
                <w:tcPr>
                  <w:tcW w:w="250" w:type="pct"/>
                  <w:vAlign w:val="top"/>
                </w:tcPr>
                <w:p>
                  <w:r>
                    <w:t xml:space="preserve">Hypertension</w:t>
                  </w:r>
                </w:p>
              </w:tc>
              <w:tc>
                <w:tcPr>
                  <w:tcW w:w="200" w:type="pct"/>
                  <w:vAlign w:val="top"/>
                </w:tcPr>
                <w:p>
                  <w:r>
                    <w:t xml:space="preserve">I10</w:t>
                  </w:r>
                </w:p>
              </w:tc>
              <w:tc>
                <w:tcPr>
                  <w:tcW w:w="1950" w:type="pct"/>
                  <w:vAlign w:val="top"/>
                </w:tcPr>
                <w:p>
                  <w:r>
                    <w:t xml:space="preserve">Essential (primary) hypertension</w:t>
                  </w:r>
                </w:p>
              </w:tc>
              <w:tc>
                <w:tcPr>
                  <w:tcW w:w="2450" w:type="pct"/>
                  <w:vAlign w:val="top"/>
                </w:tcPr>
                <w:p>
                  <w:r>
                    <w:t xml:space="preserve">As principal diagnosis.</w:t>
                  </w:r>
                </w:p>
                <w:p>
                  <w:r>
                    <w:t xml:space="preserve">Exclude cases with procedure codes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I11.9</w:t>
                  </w:r>
                </w:p>
              </w:tc>
              <w:tc>
                <w:tcPr>
                  <w:tcW w:w="1950" w:type="pct"/>
                  <w:vAlign w:val="top"/>
                </w:tcPr>
                <w:p>
                  <w:r>
                    <w:t xml:space="preserve">Hypertensive heart disease without (congestive) heart failure</w:t>
                  </w:r>
                </w:p>
              </w:tc>
              <w:tc>
                <w:tcPr>
                  <w:tcW w:w="2450" w:type="pct"/>
                  <w:vAlign w:val="top"/>
                </w:tcPr>
                <w:p>
                  <w:r>
                    <w:t xml:space="preserve">As principal diagnosis.</w:t>
                  </w:r>
                </w:p>
                <w:p>
                  <w:r>
                    <w:t xml:space="preserve">Exclude cases with procedure codes according to the list of procedures excluded from the Congestive cardiac failure category above.</w:t>
                  </w:r>
                </w:p>
              </w:tc>
            </w:tr>
            <w:tr>
              <w:trPr/>
              <w:tc>
                <w:tcPr>
                  <w:tcW w:w="250" w:type="pct"/>
                  <w:vAlign w:val="top"/>
                </w:tcPr>
                <w:p>
                  <w:r>
                    <w:t xml:space="preserve">Nutritional deficiencies</w:t>
                  </w:r>
                </w:p>
              </w:tc>
              <w:tc>
                <w:tcPr>
                  <w:tcW w:w="200" w:type="pct"/>
                  <w:vAlign w:val="top"/>
                </w:tcPr>
                <w:p>
                  <w:r>
                    <w:t xml:space="preserve">E40</w:t>
                  </w:r>
                </w:p>
              </w:tc>
              <w:tc>
                <w:tcPr>
                  <w:tcW w:w="1950" w:type="pct"/>
                  <w:vAlign w:val="top"/>
                </w:tcPr>
                <w:p>
                  <w:r>
                    <w:t xml:space="preserve">Kwashiorkor</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E41</w:t>
                  </w:r>
                </w:p>
              </w:tc>
              <w:tc>
                <w:tcPr>
                  <w:tcW w:w="1950" w:type="pct"/>
                  <w:vAlign w:val="top"/>
                </w:tcPr>
                <w:p>
                  <w:r>
                    <w:t xml:space="preserve">Nutritional marasmus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E42</w:t>
                  </w:r>
                </w:p>
              </w:tc>
              <w:tc>
                <w:tcPr>
                  <w:tcW w:w="1950" w:type="pct"/>
                  <w:vAlign w:val="top"/>
                </w:tcPr>
                <w:p>
                  <w:r>
                    <w:t xml:space="preserve">Marasmic kwashiorkor</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E43</w:t>
                  </w:r>
                </w:p>
              </w:tc>
              <w:tc>
                <w:tcPr>
                  <w:tcW w:w="1950" w:type="pct"/>
                  <w:vAlign w:val="top"/>
                </w:tcPr>
                <w:p>
                  <w:r>
                    <w:t xml:space="preserve">Unspecified severe protein-energy malnutrition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E55.0</w:t>
                  </w:r>
                </w:p>
              </w:tc>
              <w:tc>
                <w:tcPr>
                  <w:tcW w:w="1950" w:type="pct"/>
                  <w:vAlign w:val="top"/>
                </w:tcPr>
                <w:p>
                  <w:r>
                    <w:t xml:space="preserve">Rickets, active</w:t>
                  </w:r>
                </w:p>
              </w:tc>
              <w:tc>
                <w:tcPr>
                  <w:tcW w:w="2450" w:type="pct"/>
                  <w:vAlign w:val="top"/>
                </w:tcPr>
                <w:p>
                  <w:r>
                    <w:t xml:space="preserve">As principal diagnosis.</w:t>
                  </w:r>
                </w:p>
              </w:tc>
            </w:tr>
            <w:tr>
              <w:trPr/>
              <w:tc>
                <w:tcPr>
                  <w:tcW w:w="250" w:type="pct"/>
                  <w:vAlign w:val="top"/>
                </w:tcPr>
                <w:p>
                  <w:r>
                    <w:t xml:space="preserve">Rheumatic heart diseases</w:t>
                  </w:r>
                </w:p>
              </w:tc>
              <w:tc>
                <w:tcPr>
                  <w:tcW w:w="200" w:type="pct"/>
                  <w:vAlign w:val="top"/>
                </w:tcPr>
                <w:p>
                  <w:r>
                    <w:t xml:space="preserve">I00</w:t>
                  </w:r>
                </w:p>
              </w:tc>
              <w:tc>
                <w:tcPr>
                  <w:tcW w:w="1950" w:type="pct"/>
                  <w:vAlign w:val="top"/>
                </w:tcPr>
                <w:p>
                  <w:r>
                    <w:t xml:space="preserve">Rheumatic fever without mention of heart involvement</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I01</w:t>
                  </w:r>
                </w:p>
              </w:tc>
              <w:tc>
                <w:tcPr>
                  <w:tcW w:w="1950" w:type="pct"/>
                  <w:vAlign w:val="top"/>
                </w:tcPr>
                <w:p>
                  <w:r>
                    <w:t xml:space="preserve">Rheumatic fever with heart involvement</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I02</w:t>
                  </w:r>
                </w:p>
              </w:tc>
              <w:tc>
                <w:tcPr>
                  <w:tcW w:w="1950" w:type="pct"/>
                  <w:vAlign w:val="top"/>
                </w:tcPr>
                <w:p>
                  <w:r>
                    <w:t xml:space="preserve">Rheumatic chorea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I05</w:t>
                  </w:r>
                </w:p>
              </w:tc>
              <w:tc>
                <w:tcPr>
                  <w:tcW w:w="1950" w:type="pct"/>
                  <w:vAlign w:val="top"/>
                </w:tcPr>
                <w:p>
                  <w:r>
                    <w:t xml:space="preserve">Rheumatic mitral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I06</w:t>
                  </w:r>
                </w:p>
              </w:tc>
              <w:tc>
                <w:tcPr>
                  <w:tcW w:w="1950" w:type="pct"/>
                  <w:vAlign w:val="top"/>
                </w:tcPr>
                <w:p>
                  <w:r>
                    <w:t xml:space="preserve">Rheumatic aortic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I07</w:t>
                  </w:r>
                </w:p>
              </w:tc>
              <w:tc>
                <w:tcPr>
                  <w:tcW w:w="1950" w:type="pct"/>
                  <w:vAlign w:val="top"/>
                </w:tcPr>
                <w:p>
                  <w:r>
                    <w:t xml:space="preserve">Rheumatic tricuspid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I08</w:t>
                  </w:r>
                </w:p>
              </w:tc>
              <w:tc>
                <w:tcPr>
                  <w:tcW w:w="1950" w:type="pct"/>
                  <w:vAlign w:val="top"/>
                </w:tcPr>
                <w:p>
                  <w:r>
                    <w:t xml:space="preserve">Multiple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I09</w:t>
                  </w:r>
                </w:p>
              </w:tc>
              <w:tc>
                <w:tcPr>
                  <w:tcW w:w="1950" w:type="pct"/>
                  <w:vAlign w:val="top"/>
                </w:tcPr>
                <w:p>
                  <w:r>
                    <w:t xml:space="preserve">Other rheumatic heart diseases</w:t>
                  </w:r>
                </w:p>
              </w:tc>
              <w:tc>
                <w:tcPr>
                  <w:tcW w:w="2450" w:type="pct"/>
                  <w:vAlign w:val="top"/>
                </w:tcPr>
                <w:p>
                  <w:r>
                    <w:t xml:space="preserve">As principal diagnosis.</w:t>
                  </w:r>
                </w:p>
              </w:tc>
            </w:tr>
            <w:tr>
              <w:trPr/>
              <w:tc>
                <w:tcPr>
                  <w:tcW w:w="250" w:type="pct"/>
                  <w:vAlign w:val="top"/>
                </w:tcPr>
                <w:p>
                  <w:r>
                    <w:rPr>
                      <w:b/>
                    </w:rPr>
                    <w:t xml:space="preserve">Acute</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Pneumonia (not vaccine-preventable)</w:t>
                  </w:r>
                </w:p>
              </w:tc>
              <w:tc>
                <w:tcPr>
                  <w:tcW w:w="200" w:type="pct"/>
                  <w:vAlign w:val="top"/>
                </w:tcPr>
                <w:p>
                  <w:r>
                    <w:t xml:space="preserve">J15.3</w:t>
                  </w:r>
                </w:p>
              </w:tc>
              <w:tc>
                <w:tcPr>
                  <w:tcW w:w="1950" w:type="pct"/>
                  <w:vAlign w:val="top"/>
                </w:tcPr>
                <w:p>
                  <w:r>
                    <w:t xml:space="preserve">Pneumonia due to streptococcus, group B</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J15.4</w:t>
                  </w:r>
                </w:p>
              </w:tc>
              <w:tc>
                <w:tcPr>
                  <w:tcW w:w="1950" w:type="pct"/>
                  <w:vAlign w:val="top"/>
                </w:tcPr>
                <w:p>
                  <w:r>
                    <w:t xml:space="preserve">Pneumonia due to other streptococci</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J15.7</w:t>
                  </w:r>
                </w:p>
              </w:tc>
              <w:tc>
                <w:tcPr>
                  <w:tcW w:w="1950" w:type="pct"/>
                  <w:vAlign w:val="top"/>
                </w:tcPr>
                <w:p>
                  <w:r>
                    <w:t xml:space="preserve">Pneumonia due to </w:t>
                  </w:r>
                  <w:r>
                    <w:rPr>
                      <w:i/>
                    </w:rPr>
                    <w:t xml:space="preserve">Mycoplasma pneumoniae</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J16.0</w:t>
                  </w:r>
                </w:p>
              </w:tc>
              <w:tc>
                <w:tcPr>
                  <w:tcW w:w="1950" w:type="pct"/>
                  <w:vAlign w:val="top"/>
                </w:tcPr>
                <w:p>
                  <w:r>
                    <w:t xml:space="preserve">Chlamydial pneumonia</w:t>
                  </w:r>
                </w:p>
              </w:tc>
              <w:tc>
                <w:tcPr>
                  <w:tcW w:w="2450" w:type="pct"/>
                  <w:vAlign w:val="top"/>
                </w:tcPr>
                <w:p>
                  <w:r>
                    <w:t xml:space="preserve">In any diagnosis.</w:t>
                  </w:r>
                </w:p>
                <w:p>
                  <w:r>
                    <w:t xml:space="preserve">Exclude people under 2 months.</w:t>
                  </w:r>
                </w:p>
              </w:tc>
            </w:tr>
            <w:tr>
              <w:trPr/>
              <w:tc>
                <w:tcPr>
                  <w:tcW w:w="250" w:type="pct"/>
                  <w:vAlign w:val="top"/>
                </w:tcPr>
                <w:p>
                  <w:r>
                    <w:t xml:space="preserve">Urinary tract infections, including pyelonephritis</w:t>
                  </w:r>
                </w:p>
              </w:tc>
              <w:tc>
                <w:tcPr>
                  <w:tcW w:w="200" w:type="pct"/>
                  <w:vAlign w:val="top"/>
                </w:tcPr>
                <w:p>
                  <w:r>
                    <w:t xml:space="preserve">N10</w:t>
                  </w:r>
                </w:p>
              </w:tc>
              <w:tc>
                <w:tcPr>
                  <w:tcW w:w="1950" w:type="pct"/>
                  <w:vAlign w:val="top"/>
                </w:tcPr>
                <w:p>
                  <w:r>
                    <w:t xml:space="preserve">Acute tubulo-interstitial nephritis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N11</w:t>
                  </w:r>
                </w:p>
              </w:tc>
              <w:tc>
                <w:tcPr>
                  <w:tcW w:w="1950" w:type="pct"/>
                  <w:vAlign w:val="top"/>
                </w:tcPr>
                <w:p>
                  <w:r>
                    <w:t xml:space="preserve">Chronic tubulo-interstitial nephritis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N12</w:t>
                  </w:r>
                </w:p>
              </w:tc>
              <w:tc>
                <w:tcPr>
                  <w:tcW w:w="1950" w:type="pct"/>
                  <w:vAlign w:val="top"/>
                </w:tcPr>
                <w:p>
                  <w:r>
                    <w:t xml:space="preserve">Tubulo-interstitial nephritis, not specified as acute or chronic</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N13.6</w:t>
                  </w:r>
                </w:p>
              </w:tc>
              <w:tc>
                <w:tcPr>
                  <w:tcW w:w="1950" w:type="pct"/>
                  <w:vAlign w:val="top"/>
                </w:tcPr>
                <w:p>
                  <w:r>
                    <w:t xml:space="preserve">Pyonephrosis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N15.1</w:t>
                  </w:r>
                </w:p>
              </w:tc>
              <w:tc>
                <w:tcPr>
                  <w:tcW w:w="1950" w:type="pct"/>
                  <w:vAlign w:val="top"/>
                </w:tcPr>
                <w:p>
                  <w:r>
                    <w:t xml:space="preserve">Renal and perinephric abscess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N15.9</w:t>
                  </w:r>
                </w:p>
              </w:tc>
              <w:tc>
                <w:tcPr>
                  <w:tcW w:w="1950" w:type="pct"/>
                  <w:vAlign w:val="top"/>
                </w:tcPr>
                <w:p>
                  <w:r>
                    <w:t xml:space="preserve">Renal tubulo-interstitial disease,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N28.9</w:t>
                  </w:r>
                </w:p>
              </w:tc>
              <w:tc>
                <w:tcPr>
                  <w:tcW w:w="1950" w:type="pct"/>
                  <w:vAlign w:val="top"/>
                </w:tcPr>
                <w:p>
                  <w:r>
                    <w:t xml:space="preserve">Disorder of kidney and ureter,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N39.0</w:t>
                  </w:r>
                </w:p>
              </w:tc>
              <w:tc>
                <w:tcPr>
                  <w:tcW w:w="1950" w:type="pct"/>
                  <w:vAlign w:val="top"/>
                </w:tcPr>
                <w:p>
                  <w:r>
                    <w:t xml:space="preserve">Urinary tract infection, site not 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N39.9</w:t>
                  </w:r>
                </w:p>
              </w:tc>
              <w:tc>
                <w:tcPr>
                  <w:tcW w:w="1950" w:type="pct"/>
                  <w:vAlign w:val="top"/>
                </w:tcPr>
                <w:p>
                  <w:r>
                    <w:t xml:space="preserve">Disorder of urinary system, unspecified</w:t>
                  </w:r>
                </w:p>
              </w:tc>
              <w:tc>
                <w:tcPr>
                  <w:tcW w:w="2450" w:type="pct"/>
                  <w:vAlign w:val="top"/>
                </w:tcPr>
                <w:p>
                  <w:r>
                    <w:t xml:space="preserve">As principal diagnosis.</w:t>
                  </w:r>
                </w:p>
              </w:tc>
            </w:tr>
            <w:tr>
              <w:trPr/>
              <w:tc>
                <w:tcPr>
                  <w:tcW w:w="250" w:type="pct"/>
                  <w:vAlign w:val="top"/>
                </w:tcPr>
                <w:p>
                  <w:r>
                    <w:t xml:space="preserve">Perforated/bleeding ulcer</w:t>
                  </w:r>
                </w:p>
              </w:tc>
              <w:tc>
                <w:tcPr>
                  <w:tcW w:w="200" w:type="pct"/>
                  <w:vAlign w:val="top"/>
                </w:tcPr>
                <w:p>
                  <w:r>
                    <w:t xml:space="preserve">K25.0</w:t>
                  </w:r>
                </w:p>
              </w:tc>
              <w:tc>
                <w:tcPr>
                  <w:tcW w:w="1950" w:type="pct"/>
                  <w:vAlign w:val="top"/>
                </w:tcPr>
                <w:p>
                  <w:r>
                    <w:t xml:space="preserve">Gastric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K25.1</w:t>
                  </w:r>
                </w:p>
              </w:tc>
              <w:tc>
                <w:tcPr>
                  <w:tcW w:w="1950" w:type="pct"/>
                  <w:vAlign w:val="top"/>
                </w:tcPr>
                <w:p>
                  <w:r>
                    <w:t xml:space="preserve">Gastric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K25.2</w:t>
                  </w:r>
                </w:p>
              </w:tc>
              <w:tc>
                <w:tcPr>
                  <w:tcW w:w="1950" w:type="pct"/>
                  <w:vAlign w:val="top"/>
                </w:tcPr>
                <w:p>
                  <w:r>
                    <w:t xml:space="preserve">Gastric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K25.4</w:t>
                  </w:r>
                </w:p>
              </w:tc>
              <w:tc>
                <w:tcPr>
                  <w:tcW w:w="1950" w:type="pct"/>
                  <w:vAlign w:val="top"/>
                </w:tcPr>
                <w:p>
                  <w:r>
                    <w:t xml:space="preserve">Gastric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K25.5</w:t>
                  </w:r>
                </w:p>
              </w:tc>
              <w:tc>
                <w:tcPr>
                  <w:tcW w:w="1950" w:type="pct"/>
                  <w:vAlign w:val="top"/>
                </w:tcPr>
                <w:p>
                  <w:r>
                    <w:t xml:space="preserve">Gastric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K25.6</w:t>
                  </w:r>
                </w:p>
              </w:tc>
              <w:tc>
                <w:tcPr>
                  <w:tcW w:w="1950" w:type="pct"/>
                  <w:vAlign w:val="top"/>
                </w:tcPr>
                <w:p>
                  <w:r>
                    <w:t xml:space="preserve">Gastric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K26.0</w:t>
                  </w:r>
                </w:p>
              </w:tc>
              <w:tc>
                <w:tcPr>
                  <w:tcW w:w="1950" w:type="pct"/>
                  <w:vAlign w:val="top"/>
                </w:tcPr>
                <w:p>
                  <w:r>
                    <w:t xml:space="preserve">Duodenal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K26.1</w:t>
                  </w:r>
                </w:p>
              </w:tc>
              <w:tc>
                <w:tcPr>
                  <w:tcW w:w="1950" w:type="pct"/>
                  <w:vAlign w:val="top"/>
                </w:tcPr>
                <w:p>
                  <w:r>
                    <w:t xml:space="preserve">Duodenal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K26.2</w:t>
                  </w:r>
                </w:p>
              </w:tc>
              <w:tc>
                <w:tcPr>
                  <w:tcW w:w="1950" w:type="pct"/>
                  <w:vAlign w:val="top"/>
                </w:tcPr>
                <w:p>
                  <w:r>
                    <w:t xml:space="preserve">Duodenal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K26.4</w:t>
                  </w:r>
                </w:p>
              </w:tc>
              <w:tc>
                <w:tcPr>
                  <w:tcW w:w="1950" w:type="pct"/>
                  <w:vAlign w:val="top"/>
                </w:tcPr>
                <w:p>
                  <w:r>
                    <w:t xml:space="preserve">Duodenal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K26.5</w:t>
                  </w:r>
                </w:p>
              </w:tc>
              <w:tc>
                <w:tcPr>
                  <w:tcW w:w="1950" w:type="pct"/>
                  <w:vAlign w:val="top"/>
                </w:tcPr>
                <w:p>
                  <w:r>
                    <w:t xml:space="preserve">Duodenal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K26.6</w:t>
                  </w:r>
                </w:p>
              </w:tc>
              <w:tc>
                <w:tcPr>
                  <w:tcW w:w="1950" w:type="pct"/>
                  <w:vAlign w:val="top"/>
                </w:tcPr>
                <w:p>
                  <w:r>
                    <w:t xml:space="preserve">Duodenal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K27.0</w:t>
                  </w:r>
                </w:p>
              </w:tc>
              <w:tc>
                <w:tcPr>
                  <w:tcW w:w="1950" w:type="pct"/>
                  <w:vAlign w:val="top"/>
                </w:tcPr>
                <w:p>
                  <w:r>
                    <w:t xml:space="preserve">Peptic ulcer, site unspecified,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K27.1</w:t>
                  </w:r>
                </w:p>
              </w:tc>
              <w:tc>
                <w:tcPr>
                  <w:tcW w:w="1950" w:type="pct"/>
                  <w:vAlign w:val="top"/>
                </w:tcPr>
                <w:p>
                  <w:r>
                    <w:t xml:space="preserve">Peptic ulcer, site unspecified,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K27.2</w:t>
                  </w:r>
                </w:p>
              </w:tc>
              <w:tc>
                <w:tcPr>
                  <w:tcW w:w="1950" w:type="pct"/>
                  <w:vAlign w:val="top"/>
                </w:tcPr>
                <w:p>
                  <w:r>
                    <w:t xml:space="preserve">Peptic ulcer, site unspecified,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K27.4</w:t>
                  </w:r>
                </w:p>
              </w:tc>
              <w:tc>
                <w:tcPr>
                  <w:tcW w:w="1950" w:type="pct"/>
                  <w:vAlign w:val="top"/>
                </w:tcPr>
                <w:p>
                  <w:r>
                    <w:t xml:space="preserve">Peptic ulcer, site unspecified,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K27.5</w:t>
                  </w:r>
                </w:p>
              </w:tc>
              <w:tc>
                <w:tcPr>
                  <w:tcW w:w="1950" w:type="pct"/>
                  <w:vAlign w:val="top"/>
                </w:tcPr>
                <w:p>
                  <w:r>
                    <w:t xml:space="preserve">Peptic ulcer, site unspecified,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K27.6</w:t>
                  </w:r>
                </w:p>
              </w:tc>
              <w:tc>
                <w:tcPr>
                  <w:tcW w:w="1950" w:type="pct"/>
                  <w:vAlign w:val="top"/>
                </w:tcPr>
                <w:p>
                  <w:r>
                    <w:t xml:space="preserve">Peptic ulcer, site unspecified,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K28.0</w:t>
                  </w:r>
                </w:p>
              </w:tc>
              <w:tc>
                <w:tcPr>
                  <w:tcW w:w="1950" w:type="pct"/>
                  <w:vAlign w:val="top"/>
                </w:tcPr>
                <w:p>
                  <w:r>
                    <w:t xml:space="preserve">Gastrojejunal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K28.1</w:t>
                  </w:r>
                </w:p>
              </w:tc>
              <w:tc>
                <w:tcPr>
                  <w:tcW w:w="1950" w:type="pct"/>
                  <w:vAlign w:val="top"/>
                </w:tcPr>
                <w:p>
                  <w:r>
                    <w:t xml:space="preserve">Gastrojejunal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K28.2</w:t>
                  </w:r>
                </w:p>
              </w:tc>
              <w:tc>
                <w:tcPr>
                  <w:tcW w:w="1950" w:type="pct"/>
                  <w:vAlign w:val="top"/>
                </w:tcPr>
                <w:p>
                  <w:r>
                    <w:t xml:space="preserve">Gastrojejunal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K28.4</w:t>
                  </w:r>
                </w:p>
              </w:tc>
              <w:tc>
                <w:tcPr>
                  <w:tcW w:w="1950" w:type="pct"/>
                  <w:vAlign w:val="top"/>
                </w:tcPr>
                <w:p>
                  <w:r>
                    <w:t xml:space="preserve">Gastrojejunal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K28.5</w:t>
                  </w:r>
                </w:p>
              </w:tc>
              <w:tc>
                <w:tcPr>
                  <w:tcW w:w="1950" w:type="pct"/>
                  <w:vAlign w:val="top"/>
                </w:tcPr>
                <w:p>
                  <w:r>
                    <w:t xml:space="preserve">Gastrojejunal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K28.6</w:t>
                  </w:r>
                </w:p>
              </w:tc>
              <w:tc>
                <w:tcPr>
                  <w:tcW w:w="1950" w:type="pct"/>
                  <w:vAlign w:val="top"/>
                </w:tcPr>
                <w:p>
                  <w:r>
                    <w:t xml:space="preserve">Gastrojejunal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Cellulitis</w:t>
                  </w:r>
                </w:p>
              </w:tc>
              <w:tc>
                <w:tcPr>
                  <w:tcW w:w="200" w:type="pct"/>
                  <w:vAlign w:val="top"/>
                </w:tcPr>
                <w:p>
                  <w:r>
                    <w:t xml:space="preserve">L02</w:t>
                  </w:r>
                </w:p>
              </w:tc>
              <w:tc>
                <w:tcPr>
                  <w:tcW w:w="1950" w:type="pct"/>
                  <w:vAlign w:val="top"/>
                </w:tcPr>
                <w:p>
                  <w:r>
                    <w:t xml:space="preserve">Cutaneous abscess, furuncle and carbuncle</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 </w:t>
                  </w:r>
                </w:p>
              </w:tc>
              <w:tc>
                <w:tcPr>
                  <w:tcW w:w="200" w:type="pct"/>
                  <w:vAlign w:val="top"/>
                </w:tcPr>
                <w:p>
                  <w:r>
                    <w:t xml:space="preserve">L03</w:t>
                  </w:r>
                </w:p>
              </w:tc>
              <w:tc>
                <w:tcPr>
                  <w:tcW w:w="1950" w:type="pct"/>
                  <w:vAlign w:val="top"/>
                </w:tcPr>
                <w:p>
                  <w:r>
                    <w:t xml:space="preserve">Cellulitis</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 </w:t>
                  </w:r>
                </w:p>
              </w:tc>
              <w:tc>
                <w:tcPr>
                  <w:tcW w:w="200" w:type="pct"/>
                  <w:vAlign w:val="top"/>
                </w:tcPr>
                <w:p>
                  <w:r>
                    <w:t xml:space="preserve">L04</w:t>
                  </w:r>
                </w:p>
              </w:tc>
              <w:tc>
                <w:tcPr>
                  <w:tcW w:w="1950" w:type="pct"/>
                  <w:vAlign w:val="top"/>
                </w:tcPr>
                <w:p>
                  <w:r>
                    <w:t xml:space="preserve">Acute lymphadenitis</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 </w:t>
                  </w:r>
                </w:p>
              </w:tc>
              <w:tc>
                <w:tcPr>
                  <w:tcW w:w="200" w:type="pct"/>
                  <w:vAlign w:val="top"/>
                </w:tcPr>
                <w:p>
                  <w:r>
                    <w:t xml:space="preserve">L08</w:t>
                  </w:r>
                </w:p>
              </w:tc>
              <w:tc>
                <w:tcPr>
                  <w:tcW w:w="1950" w:type="pct"/>
                  <w:vAlign w:val="top"/>
                </w:tcPr>
                <w:p>
                  <w:r>
                    <w:t xml:space="preserve">Other local infections of skin and subcutaneous tissue</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 </w:t>
                  </w:r>
                </w:p>
              </w:tc>
              <w:tc>
                <w:tcPr>
                  <w:tcW w:w="200" w:type="pct"/>
                  <w:vAlign w:val="top"/>
                </w:tcPr>
                <w:p>
                  <w:r>
                    <w:t xml:space="preserve">L88</w:t>
                  </w:r>
                </w:p>
              </w:tc>
              <w:tc>
                <w:tcPr>
                  <w:tcW w:w="1950" w:type="pct"/>
                  <w:vAlign w:val="top"/>
                </w:tcPr>
                <w:p>
                  <w:r>
                    <w:t xml:space="preserve">Pyoderma gangrenosum</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 </w:t>
                  </w:r>
                </w:p>
              </w:tc>
              <w:tc>
                <w:tcPr>
                  <w:tcW w:w="200" w:type="pct"/>
                  <w:vAlign w:val="top"/>
                </w:tcPr>
                <w:p>
                  <w:r>
                    <w:t xml:space="preserve">L98.0</w:t>
                  </w:r>
                </w:p>
              </w:tc>
              <w:tc>
                <w:tcPr>
                  <w:tcW w:w="1950" w:type="pct"/>
                  <w:vAlign w:val="top"/>
                </w:tcPr>
                <w:p>
                  <w:r>
                    <w:t xml:space="preserve">Pyogenic granuloma</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 </w:t>
                  </w:r>
                </w:p>
              </w:tc>
              <w:tc>
                <w:tcPr>
                  <w:tcW w:w="200" w:type="pct"/>
                  <w:vAlign w:val="top"/>
                </w:tcPr>
                <w:p>
                  <w:r>
                    <w:t xml:space="preserve">L98.3</w:t>
                  </w:r>
                </w:p>
              </w:tc>
              <w:tc>
                <w:tcPr>
                  <w:tcW w:w="1950" w:type="pct"/>
                  <w:vAlign w:val="top"/>
                </w:tcPr>
                <w:p>
                  <w:r>
                    <w:t xml:space="preserve">Eosinophilic cellulitis [Wells]</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Pelvic inflammatory disease</w:t>
                  </w:r>
                </w:p>
              </w:tc>
              <w:tc>
                <w:tcPr>
                  <w:tcW w:w="200" w:type="pct"/>
                  <w:vAlign w:val="top"/>
                </w:tcPr>
                <w:p>
                  <w:r>
                    <w:t xml:space="preserve">N70</w:t>
                  </w:r>
                </w:p>
              </w:tc>
              <w:tc>
                <w:tcPr>
                  <w:tcW w:w="1950" w:type="pct"/>
                  <w:vAlign w:val="top"/>
                </w:tcPr>
                <w:p>
                  <w:r>
                    <w:t xml:space="preserve">Salpingitis and oophoritis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N73</w:t>
                  </w:r>
                </w:p>
              </w:tc>
              <w:tc>
                <w:tcPr>
                  <w:tcW w:w="1950" w:type="pct"/>
                  <w:vAlign w:val="top"/>
                </w:tcPr>
                <w:p>
                  <w:r>
                    <w:t xml:space="preserve">Other female pelvic inflammatory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N74</w:t>
                  </w:r>
                </w:p>
              </w:tc>
              <w:tc>
                <w:tcPr>
                  <w:tcW w:w="1950" w:type="pct"/>
                  <w:vAlign w:val="top"/>
                </w:tcPr>
                <w:p>
                  <w:r>
                    <w:t xml:space="preserve">Female pelvic inflammatory disorders in diseases classified elsewhere</w:t>
                  </w:r>
                </w:p>
              </w:tc>
              <w:tc>
                <w:tcPr>
                  <w:tcW w:w="2450" w:type="pct"/>
                  <w:vAlign w:val="top"/>
                </w:tcPr>
                <w:p>
                  <w:r>
                    <w:t xml:space="preserve">As principal diagnosis.</w:t>
                  </w:r>
                </w:p>
              </w:tc>
            </w:tr>
            <w:tr>
              <w:trPr/>
              <w:tc>
                <w:tcPr>
                  <w:tcW w:w="250" w:type="pct"/>
                  <w:vAlign w:val="top"/>
                </w:tcPr>
                <w:p>
                  <w:r>
                    <w:t xml:space="preserve">Ear, nose and throat infections</w:t>
                  </w:r>
                </w:p>
              </w:tc>
              <w:tc>
                <w:tcPr>
                  <w:tcW w:w="200" w:type="pct"/>
                  <w:vAlign w:val="top"/>
                </w:tcPr>
                <w:p>
                  <w:r>
                    <w:t xml:space="preserve">H66</w:t>
                  </w:r>
                </w:p>
              </w:tc>
              <w:tc>
                <w:tcPr>
                  <w:tcW w:w="1950" w:type="pct"/>
                  <w:vAlign w:val="top"/>
                </w:tcPr>
                <w:p>
                  <w:r>
                    <w:t xml:space="preserve">Suppurative and unspecified otitis media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J02</w:t>
                  </w:r>
                </w:p>
              </w:tc>
              <w:tc>
                <w:tcPr>
                  <w:tcW w:w="1950" w:type="pct"/>
                  <w:vAlign w:val="top"/>
                </w:tcPr>
                <w:p>
                  <w:r>
                    <w:t xml:space="preserve">Acute pharyngitis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J03</w:t>
                  </w:r>
                </w:p>
              </w:tc>
              <w:tc>
                <w:tcPr>
                  <w:tcW w:w="1950" w:type="pct"/>
                  <w:vAlign w:val="top"/>
                </w:tcPr>
                <w:p>
                  <w:r>
                    <w:t xml:space="preserve">Acute tonsillitis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J06</w:t>
                  </w:r>
                </w:p>
              </w:tc>
              <w:tc>
                <w:tcPr>
                  <w:tcW w:w="1950" w:type="pct"/>
                  <w:vAlign w:val="top"/>
                </w:tcPr>
                <w:p>
                  <w:r>
                    <w:t xml:space="preserve">Acute upper respiratory infections of multiple and unspecified sites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J31.2</w:t>
                  </w:r>
                </w:p>
              </w:tc>
              <w:tc>
                <w:tcPr>
                  <w:tcW w:w="1950" w:type="pct"/>
                  <w:vAlign w:val="top"/>
                </w:tcPr>
                <w:p>
                  <w:r>
                    <w:t xml:space="preserve">Chronic pharyngitis</w:t>
                  </w:r>
                </w:p>
              </w:tc>
              <w:tc>
                <w:tcPr>
                  <w:tcW w:w="2450" w:type="pct"/>
                  <w:vAlign w:val="top"/>
                </w:tcPr>
                <w:p>
                  <w:r>
                    <w:t xml:space="preserve">As principal diagnosis.</w:t>
                  </w:r>
                </w:p>
              </w:tc>
            </w:tr>
            <w:tr>
              <w:trPr/>
              <w:tc>
                <w:tcPr>
                  <w:tcW w:w="250" w:type="pct"/>
                  <w:vAlign w:val="top"/>
                </w:tcPr>
                <w:p>
                  <w:r>
                    <w:t xml:space="preserve">Dental conditions</w:t>
                  </w:r>
                </w:p>
              </w:tc>
              <w:tc>
                <w:tcPr>
                  <w:tcW w:w="200" w:type="pct"/>
                  <w:vAlign w:val="top"/>
                </w:tcPr>
                <w:p>
                  <w:r>
                    <w:t xml:space="preserve">K02</w:t>
                  </w:r>
                </w:p>
              </w:tc>
              <w:tc>
                <w:tcPr>
                  <w:tcW w:w="1950" w:type="pct"/>
                  <w:vAlign w:val="top"/>
                </w:tcPr>
                <w:p>
                  <w:r>
                    <w:t xml:space="preserve">Dental caries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K03</w:t>
                  </w:r>
                </w:p>
              </w:tc>
              <w:tc>
                <w:tcPr>
                  <w:tcW w:w="1950" w:type="pct"/>
                  <w:vAlign w:val="top"/>
                </w:tcPr>
                <w:p>
                  <w:r>
                    <w:t xml:space="preserve">Other diseases of hard tissues of teeth</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K04</w:t>
                  </w:r>
                </w:p>
              </w:tc>
              <w:tc>
                <w:tcPr>
                  <w:tcW w:w="1950" w:type="pct"/>
                  <w:vAlign w:val="top"/>
                </w:tcPr>
                <w:p>
                  <w:r>
                    <w:t xml:space="preserve">Diseases of pulp and periapical tissues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K05</w:t>
                  </w:r>
                </w:p>
              </w:tc>
              <w:tc>
                <w:tcPr>
                  <w:tcW w:w="1950" w:type="pct"/>
                  <w:vAlign w:val="top"/>
                </w:tcPr>
                <w:p>
                  <w:r>
                    <w:t xml:space="preserve">Gingivitis and periodontal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K06</w:t>
                  </w:r>
                </w:p>
              </w:tc>
              <w:tc>
                <w:tcPr>
                  <w:tcW w:w="1950" w:type="pct"/>
                  <w:vAlign w:val="top"/>
                </w:tcPr>
                <w:p>
                  <w:r>
                    <w:t xml:space="preserve">Other disorders of gingiva and edentulous alveolar ridge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K08</w:t>
                  </w:r>
                </w:p>
              </w:tc>
              <w:tc>
                <w:tcPr>
                  <w:tcW w:w="1950" w:type="pct"/>
                  <w:vAlign w:val="top"/>
                </w:tcPr>
                <w:p>
                  <w:r>
                    <w:t xml:space="preserve">Other disorders of teeth and supporting structures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K09.8</w:t>
                  </w:r>
                </w:p>
              </w:tc>
              <w:tc>
                <w:tcPr>
                  <w:tcW w:w="1950" w:type="pct"/>
                  <w:vAlign w:val="top"/>
                </w:tcPr>
                <w:p>
                  <w:r>
                    <w:t xml:space="preserve">Other cysts of oral region, not elsewhere classified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K09.9</w:t>
                  </w:r>
                </w:p>
              </w:tc>
              <w:tc>
                <w:tcPr>
                  <w:tcW w:w="1950" w:type="pct"/>
                  <w:vAlign w:val="top"/>
                </w:tcPr>
                <w:p>
                  <w:r>
                    <w:t xml:space="preserve">Cyst of oral region,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K12</w:t>
                  </w:r>
                </w:p>
              </w:tc>
              <w:tc>
                <w:tcPr>
                  <w:tcW w:w="1950" w:type="pct"/>
                  <w:vAlign w:val="top"/>
                </w:tcPr>
                <w:p>
                  <w:r>
                    <w:t xml:space="preserve">Stomatitis and related lesions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K13</w:t>
                  </w:r>
                </w:p>
              </w:tc>
              <w:tc>
                <w:tcPr>
                  <w:tcW w:w="1950" w:type="pct"/>
                  <w:vAlign w:val="top"/>
                </w:tcPr>
                <w:p>
                  <w:r>
                    <w:t xml:space="preserve">Other diseases of lip and oral mucosa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K14.0</w:t>
                  </w:r>
                </w:p>
              </w:tc>
              <w:tc>
                <w:tcPr>
                  <w:tcW w:w="1950" w:type="pct"/>
                  <w:vAlign w:val="top"/>
                </w:tcPr>
                <w:p>
                  <w:r>
                    <w:t xml:space="preserve">Glossitis</w:t>
                  </w:r>
                </w:p>
              </w:tc>
              <w:tc>
                <w:tcPr>
                  <w:tcW w:w="2450" w:type="pct"/>
                  <w:vAlign w:val="top"/>
                </w:tcPr>
                <w:p>
                  <w:r>
                    <w:t xml:space="preserve">As principal diagnosis.</w:t>
                  </w:r>
                </w:p>
              </w:tc>
            </w:tr>
            <w:tr>
              <w:trPr/>
              <w:tc>
                <w:tcPr>
                  <w:tcW w:w="250" w:type="pct"/>
                  <w:vAlign w:val="top"/>
                </w:tcPr>
                <w:p>
                  <w:r>
                    <w:t xml:space="preserve">Convulsions and epilepsy</w:t>
                  </w:r>
                </w:p>
              </w:tc>
              <w:tc>
                <w:tcPr>
                  <w:tcW w:w="200" w:type="pct"/>
                  <w:vAlign w:val="top"/>
                </w:tcPr>
                <w:p>
                  <w:r>
                    <w:t xml:space="preserve">G40</w:t>
                  </w:r>
                </w:p>
              </w:tc>
              <w:tc>
                <w:tcPr>
                  <w:tcW w:w="1950" w:type="pct"/>
                  <w:vAlign w:val="top"/>
                </w:tcPr>
                <w:p>
                  <w:r>
                    <w:t xml:space="preserve">Epilepsy</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G41</w:t>
                  </w:r>
                </w:p>
              </w:tc>
              <w:tc>
                <w:tcPr>
                  <w:tcW w:w="1950" w:type="pct"/>
                  <w:vAlign w:val="top"/>
                </w:tcPr>
                <w:p>
                  <w:r>
                    <w:t xml:space="preserve">Status epilepticus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R56</w:t>
                  </w:r>
                </w:p>
              </w:tc>
              <w:tc>
                <w:tcPr>
                  <w:tcW w:w="1950" w:type="pct"/>
                  <w:vAlign w:val="top"/>
                </w:tcPr>
                <w:p>
                  <w:r>
                    <w:t xml:space="preserve">Convulsions, not elsewhere classified</w:t>
                  </w:r>
                </w:p>
              </w:tc>
              <w:tc>
                <w:tcPr>
                  <w:tcW w:w="2450" w:type="pct"/>
                  <w:vAlign w:val="top"/>
                </w:tcPr>
                <w:p>
                  <w:r>
                    <w:t xml:space="preserve">As principal diagnosis.</w:t>
                  </w:r>
                </w:p>
              </w:tc>
            </w:tr>
            <w:tr>
              <w:trPr/>
              <w:tc>
                <w:tcPr>
                  <w:tcW w:w="250" w:type="pct"/>
                  <w:vAlign w:val="top"/>
                </w:tcPr>
                <w:p>
                  <w:r>
                    <w:t xml:space="preserve">Eclampsia</w:t>
                  </w:r>
                </w:p>
              </w:tc>
              <w:tc>
                <w:tcPr>
                  <w:tcW w:w="200" w:type="pct"/>
                  <w:vAlign w:val="top"/>
                </w:tcPr>
                <w:p>
                  <w:r>
                    <w:t xml:space="preserve">O15</w:t>
                  </w:r>
                </w:p>
              </w:tc>
              <w:tc>
                <w:tcPr>
                  <w:tcW w:w="1950" w:type="pct"/>
                  <w:vAlign w:val="top"/>
                </w:tcPr>
                <w:p>
                  <w:r>
                    <w:t xml:space="preserve">Eclampsia</w:t>
                  </w:r>
                </w:p>
              </w:tc>
              <w:tc>
                <w:tcPr>
                  <w:tcW w:w="2450" w:type="pct"/>
                  <w:vAlign w:val="top"/>
                </w:tcPr>
                <w:p>
                  <w:r>
                    <w:t xml:space="preserve">As principal diagnosis.</w:t>
                  </w:r>
                </w:p>
              </w:tc>
            </w:tr>
            <w:tr>
              <w:trPr/>
              <w:tc>
                <w:tcPr>
                  <w:tcW w:w="250" w:type="pct"/>
                  <w:vAlign w:val="top"/>
                </w:tcPr>
                <w:p>
                  <w:r>
                    <w:t xml:space="preserve">Gangrene</w:t>
                  </w:r>
                </w:p>
              </w:tc>
              <w:tc>
                <w:tcPr>
                  <w:tcW w:w="200" w:type="pct"/>
                  <w:vAlign w:val="top"/>
                </w:tcPr>
                <w:p>
                  <w:r>
                    <w:t xml:space="preserve">R02</w:t>
                  </w:r>
                </w:p>
              </w:tc>
              <w:tc>
                <w:tcPr>
                  <w:tcW w:w="1950" w:type="pct"/>
                  <w:vAlign w:val="top"/>
                </w:tcPr>
                <w:p>
                  <w:r>
                    <w:t xml:space="preserve">Gangrene, not elsewhere classified</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I70.24</w:t>
                  </w:r>
                </w:p>
              </w:tc>
              <w:tc>
                <w:tcPr>
                  <w:tcW w:w="1950" w:type="pct"/>
                  <w:vAlign w:val="top"/>
                </w:tcPr>
                <w:p>
                  <w:r>
                    <w:t xml:space="preserve">Atherosclerosis of arteries of extremities with gangrene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E09.52</w:t>
                  </w:r>
                </w:p>
              </w:tc>
              <w:tc>
                <w:tcPr>
                  <w:tcW w:w="1950" w:type="pct"/>
                  <w:vAlign w:val="top"/>
                </w:tcPr>
                <w:p>
                  <w:r>
                    <w:t xml:space="preserve">Intermediate hyperglycaemia with peripheral angiopathy, with gangrene</w:t>
                  </w:r>
                </w:p>
              </w:tc>
              <w:tc>
                <w:tcPr>
                  <w:tcW w:w="2450" w:type="pct"/>
                  <w:vAlign w:val="top"/>
                </w:tcPr>
                <w:p>
                  <w:r>
                    <w:t xml:space="preserve">As principal diagnosis.</w:t>
                  </w:r>
                </w:p>
              </w:tc>
            </w:tr>
          </w:tbl>
          <w:p>
            <w:r>
              <w:t xml:space="preserve">Rates directly age-standardised to the 2001 Australian population.</w:t>
            </w:r>
          </w:p>
          <w:p>
            <w:r>
              <w:t xml:space="preserve">Analysis by state and territory, remoteness and Socio-Economic Indexes for Areas (SEIFA) Index of Relative Socio-Economic Disadvantage (IRSD) is based on usual residence of the person.</w:t>
            </w:r>
          </w:p>
          <w:p>
            <w:r>
              <w:t xml:space="preserve">Presented as a number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2"/>
              </w:numPr>
            </w:pPr>
            <w:r>
              <w:rPr>
                <w:rStyle w:val="row-content-rich-text"/>
              </w:rPr>
              <w:t xml:space="preserve">vaccine-preventable conditions (e.g. tetanus, measles, mumps, rubella).</w:t>
            </w:r>
          </w:p>
          <w:p>
            <w:pPr>
              <w:pStyle w:val="ListParagraph"/>
              <w:numPr>
                <w:ilvl w:val="0"/>
                <w:numId w:val="2"/>
              </w:numPr>
            </w:pPr>
            <w:r>
              <w:rPr>
                <w:rStyle w:val="row-content-rich-text"/>
              </w:rPr>
              <w:t xml:space="preserve">acute conditions (e.g. ear, nose and throat infections, perforated/bleeding ulcer, pelvic inflammatory disease).</w:t>
            </w:r>
          </w:p>
          <w:p>
            <w:pPr>
              <w:pStyle w:val="ListParagraph"/>
              <w:numPr>
                <w:ilvl w:val="0"/>
                <w:numId w:val="2"/>
              </w:numPr>
            </w:pPr>
            <w:r>
              <w:rPr>
                <w:rStyle w:val="row-content-rich-text"/>
              </w:rPr>
              <w:t xml:space="preserve">chronic conditions (e.g. diabetes complications, asthma, angina, hypertension, congestive heart failure and chronic obstructive pulmonary disease).</w:t>
            </w:r>
          </w:p>
          <w:p>
            <w:pPr>
              <w:pStyle w:val="ListParagraph"/>
              <w:numPr>
                <w:ilvl w:val="0"/>
                <w:numId w:val="2"/>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47aab1cd6a44465">
              <w:r>
                <w:rPr>
                  <w:rStyle w:val="Hyperlink"/>
                </w:rPr>
                <w:t xml:space="preserve">Episode of admitted patient care—admission date, DDMMYYYY</w:t>
              </w:r>
            </w:hyperlink>
          </w:p>
          <w:p>
            <w:r>
              <w:rPr>
                <w:rStyle w:val="row-content"/>
                <w:b/>
              </w:rPr>
              <w:t xml:space="preserve">Data Source</w:t>
            </w:r>
          </w:p>
          <w:p>
            <w:hyperlink w:history="true" r:id="R54c0342dde7c461e">
              <w:r>
                <w:rPr>
                  <w:rStyle w:val="Hyperlink"/>
                </w:rPr>
                <w:t xml:space="preserve">National Hospital Morbidity Database (NHMD)</w:t>
              </w:r>
            </w:hyperlink>
          </w:p>
          <w:p>
            <w:r>
              <w:rPr>
                <w:rStyle w:val="row-content"/>
                <w:b/>
              </w:rPr>
              <w:t xml:space="preserve">NMDS / DSS</w:t>
            </w:r>
          </w:p>
          <w:p>
            <w:hyperlink w:history="true" r:id="Rf7fd4ab999a84d4f">
              <w:r>
                <w:rPr>
                  <w:rStyle w:val="Hyperlink"/>
                </w:rPr>
                <w:t xml:space="preserve">Admitted patient care NMDS 2017-18</w:t>
              </w:r>
            </w:hyperlink>
          </w:p>
          <w:p>
            <w:r>
              <w:rPr>
                <w:rStyle w:val="row-content"/>
                <w:b/>
                <w:color w:val="000000"/>
              </w:rPr>
              <w:t xml:space="preserve">Data Element / Data Set</w:t>
            </w:r>
          </w:p>
          <w:p>
            <w:hyperlink w:history="true" r:id="R12ac602b583a4170">
              <w:r>
                <w:rPr>
                  <w:rStyle w:val="Hyperlink"/>
                </w:rPr>
                <w:t xml:space="preserve">Episode of care—principal diagnosis, code (ICD-10-AM 10th edn) ANN{.N[N]}</w:t>
              </w:r>
            </w:hyperlink>
          </w:p>
          <w:p>
            <w:r>
              <w:rPr>
                <w:rStyle w:val="row-content"/>
                <w:b/>
              </w:rPr>
              <w:t xml:space="preserve">Data Source</w:t>
            </w:r>
          </w:p>
          <w:p>
            <w:hyperlink w:history="true" r:id="R337dec6898bf490f">
              <w:r>
                <w:rPr>
                  <w:rStyle w:val="Hyperlink"/>
                </w:rPr>
                <w:t xml:space="preserve">National Hospital Morbidity Database (NHMD)</w:t>
              </w:r>
            </w:hyperlink>
          </w:p>
          <w:p>
            <w:r>
              <w:rPr>
                <w:rStyle w:val="row-content"/>
                <w:b/>
              </w:rPr>
              <w:t xml:space="preserve">NMDS / DSS</w:t>
            </w:r>
          </w:p>
          <w:p>
            <w:hyperlink w:history="true" r:id="R7af2e9ed91514c8d">
              <w:r>
                <w:rPr>
                  <w:rStyle w:val="Hyperlink"/>
                </w:rPr>
                <w:t xml:space="preserve">Admitted patient care NMDS 2017-18</w:t>
              </w:r>
            </w:hyperlink>
          </w:p>
          <w:p>
            <w:r>
              <w:rPr>
                <w:rStyle w:val="row-content"/>
                <w:b/>
                <w:color w:val="000000"/>
              </w:rPr>
              <w:t xml:space="preserve">Data Element / Data Set</w:t>
            </w:r>
          </w:p>
          <w:p>
            <w:hyperlink w:history="true" r:id="Rc18729cb08b6443f">
              <w:r>
                <w:rPr>
                  <w:rStyle w:val="Hyperlink"/>
                </w:rPr>
                <w:t xml:space="preserve">Episode of care—additional diagnosis, code (ICD-10-AM 10th edn) ANN{.N[N]}</w:t>
              </w:r>
            </w:hyperlink>
          </w:p>
          <w:p>
            <w:r>
              <w:rPr>
                <w:rStyle w:val="row-content"/>
                <w:b/>
              </w:rPr>
              <w:t xml:space="preserve">Data Source</w:t>
            </w:r>
          </w:p>
          <w:p>
            <w:hyperlink w:history="true" r:id="R7ab76910644a476b">
              <w:r>
                <w:rPr>
                  <w:rStyle w:val="Hyperlink"/>
                </w:rPr>
                <w:t xml:space="preserve">National Hospital Morbidity Database (NHMD)</w:t>
              </w:r>
            </w:hyperlink>
          </w:p>
          <w:p>
            <w:r>
              <w:rPr>
                <w:rStyle w:val="row-content"/>
                <w:b/>
              </w:rPr>
              <w:t xml:space="preserve">NMDS / DSS</w:t>
            </w:r>
          </w:p>
          <w:p>
            <w:hyperlink w:history="true" r:id="R036d900fea2c4b41">
              <w:r>
                <w:rPr>
                  <w:rStyle w:val="Hyperlink"/>
                </w:rPr>
                <w:t xml:space="preserve">Admitted patient care NMDS 2017-18</w:t>
              </w:r>
            </w:hyperlink>
          </w:p>
          <w:p>
            <w:r>
              <w:rPr>
                <w:rStyle w:val="row-content"/>
                <w:b/>
                <w:color w:val="000000"/>
              </w:rPr>
              <w:t xml:space="preserve">Data Element / Data Set</w:t>
            </w:r>
          </w:p>
          <w:p>
            <w:hyperlink w:history="true" r:id="R44ac20008f724dcb">
              <w:r>
                <w:rPr>
                  <w:rStyle w:val="Hyperlink"/>
                </w:rPr>
                <w:t xml:space="preserve">Episode of admitted patient care—procedure, code (ACHI 10th edn) NNNNN-NN</w:t>
              </w:r>
            </w:hyperlink>
          </w:p>
          <w:p>
            <w:r>
              <w:rPr>
                <w:rStyle w:val="row-content"/>
                <w:b/>
              </w:rPr>
              <w:t xml:space="preserve">Data Source</w:t>
            </w:r>
          </w:p>
          <w:p>
            <w:hyperlink w:history="true" r:id="R9f4ca6ee564749cd">
              <w:r>
                <w:rPr>
                  <w:rStyle w:val="Hyperlink"/>
                </w:rPr>
                <w:t xml:space="preserve">National Hospital Morbidity Database (NHMD)</w:t>
              </w:r>
            </w:hyperlink>
          </w:p>
          <w:p>
            <w:r>
              <w:rPr>
                <w:rStyle w:val="row-content"/>
                <w:b/>
              </w:rPr>
              <w:t xml:space="preserve">NMDS / DSS</w:t>
            </w:r>
          </w:p>
          <w:p>
            <w:hyperlink w:history="true" r:id="R70fdc7539594400d">
              <w:r>
                <w:rPr>
                  <w:rStyle w:val="Hyperlink"/>
                </w:rPr>
                <w:t xml:space="preserve">Admitted patient care NMDS 2017-18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Person—projected Indigenous population of Australia, total people, N[N(9)]</w:t>
            </w:r>
          </w:p>
          <w:p>
            <w:r>
              <w:rPr>
                <w:rStyle w:val="row-content"/>
              </w:rPr>
              <w:t xml:space="preserve"> </w:t>
            </w:r>
          </w:p>
          <w:p>
            <w:r>
              <w:rPr>
                <w:rStyle w:val="row-content"/>
                <w:b/>
              </w:rPr>
              <w:t xml:space="preserve">Data Source</w:t>
            </w:r>
          </w:p>
          <w:p>
            <w:hyperlink w:history="true" r:id="R234c1d878fd543b7">
              <w:r>
                <w:rPr>
                  <w:rStyle w:val="Hyperlink"/>
                </w:rPr>
                <w:t xml:space="preserve">ABS Indigenous estimates and projections (2016 Census-based)</w:t>
              </w:r>
            </w:hyperlink>
          </w:p>
          <w:p>
            <w:r>
              <w:rPr>
                <w:rStyle w:val="row-content"/>
                <w:b/>
                <w:color w:val="000000"/>
              </w:rPr>
              <w:t xml:space="preserve">Data Element / Data Set</w:t>
            </w:r>
          </w:p>
          <w:p>
            <w:hyperlink w:history="true" r:id="R453b23bfcb844036">
              <w:r>
                <w:rPr>
                  <w:rStyle w:val="Hyperlink"/>
                </w:rPr>
                <w:t xml:space="preserve">Person—estimated resident population of Australia, total people N[N(7)]</w:t>
              </w:r>
            </w:hyperlink>
          </w:p>
          <w:p>
            <w:r>
              <w:rPr>
                <w:rStyle w:val="row-content"/>
                <w:b/>
              </w:rPr>
              <w:t xml:space="preserve">Data Source</w:t>
            </w:r>
          </w:p>
          <w:p>
            <w:hyperlink w:history="true" r:id="R45c7b68321b64b60">
              <w:r>
                <w:rPr>
                  <w:rStyle w:val="Hyperlink"/>
                </w:rPr>
                <w:t xml:space="preserve">ABS Estimated resident population (2016 Census-based)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2008–09, 2009–10, 2010–11, 2011–12, 2012–13, 2013–14, 2014–15, 2015–16, 2016–17, 2017–18—National.</w:t>
            </w:r>
          </w:p>
          <w:p>
            <w:pPr>
              <w:spacing w:after="160"/>
            </w:pPr>
            <w:r>
              <w:rPr>
                <w:rStyle w:val="row-content-rich-text"/>
              </w:rPr>
              <w:t xml:space="preserve">Nationally, by three groups (not reported).</w:t>
            </w:r>
          </w:p>
          <w:p>
            <w:pPr>
              <w:spacing w:after="160"/>
            </w:pPr>
            <w:r>
              <w:rPr>
                <w:rStyle w:val="row-content-rich-text"/>
              </w:rPr>
              <w:t xml:space="preserve">Nationally (by three groups and total) by (all not reported):</w:t>
            </w:r>
          </w:p>
          <w:p>
            <w:pPr>
              <w:pStyle w:val="ListParagraph"/>
              <w:numPr>
                <w:ilvl w:val="0"/>
                <w:numId w:val="3"/>
              </w:numPr>
            </w:pPr>
            <w:r>
              <w:rPr>
                <w:rStyle w:val="row-content-rich-text"/>
              </w:rPr>
              <w:t xml:space="preserve">SEIFA IRSD deciles.</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w:t>
            </w:r>
          </w:p>
          <w:p>
            <w:pPr>
              <w:spacing w:after="160"/>
            </w:pPr>
            <w:r>
              <w:rPr>
                <w:rStyle w:val="row-content-rich-text"/>
              </w:rPr>
              <w:t xml:space="preserve">2007–08, 2008–09, 2009–10, 2010–11, 2011–12, 2012–13, 2013–14, 2014–15, 2015–16, 2016–17, 2017–18—State and territory.</w:t>
            </w:r>
          </w:p>
          <w:p>
            <w:pPr>
              <w:spacing w:after="160"/>
            </w:pPr>
            <w:r>
              <w:rPr>
                <w:rStyle w:val="row-content-rich-text"/>
              </w:rPr>
              <w:t xml:space="preserve">State and territory, by three groups (not reported).</w:t>
            </w:r>
          </w:p>
          <w:p>
            <w:pPr>
              <w:spacing w:after="160"/>
            </w:pPr>
            <w:r>
              <w:rPr>
                <w:rStyle w:val="row-content-rich-text"/>
              </w:rPr>
              <w:t xml:space="preserve">State and territory (by three groups and total), by (all not reported):</w:t>
            </w:r>
          </w:p>
          <w:p>
            <w:pPr>
              <w:pStyle w:val="ListParagraph"/>
              <w:numPr>
                <w:ilvl w:val="0"/>
                <w:numId w:val="4"/>
              </w:numPr>
            </w:pPr>
            <w:r>
              <w:rPr>
                <w:rStyle w:val="row-content-rich-text"/>
              </w:rPr>
              <w:t xml:space="preserve">remoteness (ASGS Remoteness Structure).</w:t>
            </w:r>
          </w:p>
          <w:p>
            <w:pPr>
              <w:pStyle w:val="ListParagraph"/>
              <w:numPr>
                <w:ilvl w:val="0"/>
                <w:numId w:val="4"/>
              </w:numPr>
            </w:pPr>
            <w:r>
              <w:rPr>
                <w:rStyle w:val="row-content-rich-text"/>
              </w:rPr>
              <w:t xml:space="preserve">Indigenous status.</w:t>
            </w:r>
          </w:p>
          <w:p>
            <w:pPr>
              <w:pStyle w:val="ListParagraph"/>
              <w:numPr>
                <w:ilvl w:val="0"/>
                <w:numId w:val="4"/>
              </w:numPr>
            </w:pPr>
            <w:r>
              <w:rPr>
                <w:rStyle w:val="row-content-rich-text"/>
              </w:rPr>
              <w:t xml:space="preserve">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053b0875dba4bb9">
              <w:r>
                <w:rPr>
                  <w:rStyle w:val="Hyperlink"/>
                </w:rPr>
                <w:t xml:space="preserve">Person—Indigenous status, code N</w:t>
              </w:r>
            </w:hyperlink>
          </w:p>
          <w:p>
            <w:r>
              <w:rPr>
                <w:rStyle w:val="row-content"/>
                <w:b/>
              </w:rPr>
              <w:t xml:space="preserve">Data Source</w:t>
            </w:r>
          </w:p>
          <w:p>
            <w:hyperlink w:history="true" r:id="Rad8515cd732844c1">
              <w:r>
                <w:rPr>
                  <w:rStyle w:val="Hyperlink"/>
                </w:rPr>
                <w:t xml:space="preserve">National Hospital Morbidity Database (NHMD)</w:t>
              </w:r>
            </w:hyperlink>
          </w:p>
          <w:p>
            <w:r>
              <w:rPr>
                <w:rStyle w:val="row-content"/>
                <w:b/>
              </w:rPr>
              <w:t xml:space="preserve">NMDS / DSS</w:t>
            </w:r>
          </w:p>
          <w:p>
            <w:hyperlink w:history="true" r:id="R015b253a0d91413c">
              <w:r>
                <w:rPr>
                  <w:rStyle w:val="Hyperlink"/>
                </w:rPr>
                <w:t xml:space="preserve">Admitted patient care NMDS 2017-18</w:t>
              </w:r>
            </w:hyperlink>
          </w:p>
          <w:p>
            <w:r>
              <w:rPr>
                <w:rStyle w:val="row-content"/>
                <w:b/>
                <w:color w:val="000000"/>
              </w:rPr>
              <w:t xml:space="preserve">Data Element / Data Set</w:t>
            </w:r>
          </w:p>
          <w:p>
            <w:hyperlink w:history="true" r:id="R2014c5eaed66405a">
              <w:r>
                <w:rPr>
                  <w:rStyle w:val="Hyperlink"/>
                </w:rPr>
                <w:t xml:space="preserve">Person—area of usual residence, statistical area level 2 (SA2) code (ASGS 2016) N(9)</w:t>
              </w:r>
            </w:hyperlink>
          </w:p>
          <w:p>
            <w:r>
              <w:rPr>
                <w:rStyle w:val="row-content"/>
                <w:b/>
              </w:rPr>
              <w:t xml:space="preserve">Data Source</w:t>
            </w:r>
          </w:p>
          <w:p>
            <w:hyperlink w:history="true" r:id="Rf0d02d4698ff4a14">
              <w:r>
                <w:rPr>
                  <w:rStyle w:val="Hyperlink"/>
                </w:rPr>
                <w:t xml:space="preserve">National Hospital Morbidity Database (NHMD)</w:t>
              </w:r>
            </w:hyperlink>
          </w:p>
          <w:p>
            <w:r>
              <w:rPr>
                <w:rStyle w:val="row-content"/>
                <w:b/>
              </w:rPr>
              <w:t xml:space="preserve">NMDS / DSS</w:t>
            </w:r>
          </w:p>
          <w:p>
            <w:hyperlink w:history="true" r:id="R65a28730a8d14b7c">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Used for disaggregation by state/territory, remoteness and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Australian Health Performance Framework reporting: 2017–18.</w:t>
            </w:r>
          </w:p>
          <w:p>
            <w:pPr>
              <w:spacing w:after="160"/>
            </w:pPr>
            <w:r>
              <w:rPr>
                <w:rStyle w:val="row-content-rich-text"/>
              </w:rPr>
              <w:t xml:space="preserve">The scope of the National Hospital Morbidity Database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For 2017-18 data, the SEIFA IRSD quintiles and deciles used are 2016 SEIFA IRSD quintiles and deciles derived using the Australian Statistical Geography Standard (ASGS) 2016 geographical unit of Statistical Area Level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87e92c2abcf4e9a">
              <w:r>
                <w:rPr>
                  <w:rStyle w:val="Hyperlink"/>
                </w:rPr>
                <w:t xml:space="preserve">1. 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be1f672e0f34294">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1f43042aba14775">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1d79a753b59b4bfa">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04d99805f4847c1">
              <w:r>
                <w:rPr>
                  <w:rStyle w:val="Hyperlink"/>
                </w:rPr>
                <w:t xml:space="preserve">Australian Health Performance Framework: PI 2.1.4–Selected potentially preventable hospitalisations, 2020</w:t>
              </w:r>
            </w:hyperlink>
          </w:p>
          <w:p>
            <w:pPr>
              <w:spacing w:before="0" w:after="0"/>
            </w:pPr>
            <w:r>
              <w:rPr>
                <w:rStyle w:val="row-content"/>
                <w:color w:val="244061"/>
              </w:rPr>
              <w:t xml:space="preserve">       </w:t>
            </w:r>
            <w:hyperlink w:history="true" r:id="Rf36c3dab19d14254">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314aa77a26a24139">
              <w:r>
                <w:rPr>
                  <w:rStyle w:val="Hyperlink"/>
                </w:rPr>
                <w:t xml:space="preserve">Australian Health Performance Framework: PI 2.1.6–Potentially avoidable deaths, 2019</w:t>
              </w:r>
            </w:hyperlink>
          </w:p>
          <w:p>
            <w:pPr>
              <w:spacing w:before="0" w:after="0"/>
            </w:pPr>
            <w:r>
              <w:rPr>
                <w:rStyle w:val="row-content"/>
                <w:color w:val="244061"/>
              </w:rPr>
              <w:t xml:space="preserve">       </w:t>
            </w:r>
            <w:hyperlink w:history="true" r:id="R1545baf649cc4b54">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004f4030a6564b77">
              <w:r>
                <w:rPr>
                  <w:rStyle w:val="Hyperlink"/>
                </w:rPr>
                <w:t xml:space="preserve">Australian Health Performance Framework: PI 2.4.1–Unplanned hospital readmission rates, 2019</w:t>
              </w:r>
            </w:hyperlink>
          </w:p>
          <w:p>
            <w:pPr>
              <w:spacing w:before="0" w:after="0"/>
            </w:pPr>
            <w:r>
              <w:rPr>
                <w:rStyle w:val="row-content"/>
                <w:color w:val="244061"/>
              </w:rPr>
              <w:t xml:space="preserve">       </w:t>
            </w:r>
            <w:hyperlink w:history="true" r:id="R4913f599b7a14839">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f1405e170b214f70">
              <w:r>
                <w:rPr>
                  <w:rStyle w:val="Hyperlink"/>
                </w:rPr>
                <w:t xml:space="preserve">National Healthcare Agreement: PI 16–Potentially avoidable deaths, 2020</w:t>
              </w:r>
            </w:hyperlink>
          </w:p>
          <w:p>
            <w:pPr>
              <w:spacing w:before="0" w:after="0"/>
            </w:pPr>
            <w:r>
              <w:rPr>
                <w:rStyle w:val="row-content"/>
                <w:color w:val="244061"/>
              </w:rPr>
              <w:t xml:space="preserve">       </w:t>
            </w:r>
            <w:hyperlink w:history="true" r:id="Rf63fec6c954f47c4">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190ad62dde3e4ccd">
              <w:r>
                <w:rPr>
                  <w:rStyle w:val="Hyperlink"/>
                </w:rPr>
                <w:t xml:space="preserve">National Healthcare Agreement: PI 16–Potentially avoidable deaths, 2021</w:t>
              </w:r>
            </w:hyperlink>
          </w:p>
          <w:p>
            <w:pPr>
              <w:spacing w:before="0" w:after="0"/>
            </w:pPr>
            <w:r>
              <w:rPr>
                <w:rStyle w:val="row-content"/>
                <w:color w:val="244061"/>
              </w:rPr>
              <w:t xml:space="preserve">       </w:t>
            </w:r>
            <w:hyperlink w:history="true" r:id="R648cda1a631640cf">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4ede9bea360548e3">
              <w:r>
                <w:rPr>
                  <w:rStyle w:val="Hyperlink"/>
                </w:rPr>
                <w:t xml:space="preserve">National Healthcare Agreement: PI 18–Selected potentially preventable hospitalisations, 2020</w:t>
              </w:r>
            </w:hyperlink>
          </w:p>
          <w:p>
            <w:pPr>
              <w:spacing w:before="0" w:after="0"/>
            </w:pPr>
            <w:r>
              <w:rPr>
                <w:rStyle w:val="row-content"/>
                <w:color w:val="244061"/>
              </w:rPr>
              <w:t xml:space="preserve">       </w:t>
            </w:r>
            <w:hyperlink w:history="true" r:id="R1331e2b255db4ca6">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56d2ec41a9fe4de7">
              <w:r>
                <w:rPr>
                  <w:rStyle w:val="Hyperlink"/>
                </w:rPr>
                <w:t xml:space="preserve">National Healthcare Agreement: PI 18–Selected potentially preventable hospitalisations, 2021</w:t>
              </w:r>
            </w:hyperlink>
          </w:p>
          <w:p>
            <w:pPr>
              <w:spacing w:before="0" w:after="0"/>
            </w:pPr>
            <w:r>
              <w:rPr>
                <w:rStyle w:val="row-content"/>
                <w:color w:val="244061"/>
              </w:rPr>
              <w:t xml:space="preserve">       </w:t>
            </w:r>
            <w:hyperlink w:history="true" r:id="Rb0c7f957a05c40a6">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63406ea358384ecb">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6d4270b246d04888">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60e2238883f84b72">
              <w:r>
                <w:rPr>
                  <w:rStyle w:val="Hyperlink"/>
                </w:rPr>
                <w:t xml:space="preserve">National Healthcare Agreement: PI 23–Unplanned hospital readmission rates, 2021</w:t>
              </w:r>
            </w:hyperlink>
          </w:p>
          <w:p>
            <w:pPr>
              <w:spacing w:before="0" w:after="0"/>
            </w:pPr>
            <w:r>
              <w:rPr>
                <w:rStyle w:val="row-content"/>
                <w:color w:val="244061"/>
              </w:rPr>
              <w:t xml:space="preserve">       </w:t>
            </w:r>
            <w:hyperlink w:history="true" r:id="R7b511492724e489b">
              <w:r>
                <w:rPr>
                  <w:rStyle w:val="Hyperlink"/>
                  <w:color w:val="244061"/>
                </w:rPr>
                <w:t xml:space="preserve">Health</w:t>
              </w:r>
            </w:hyperlink>
            <w:r>
              <w:rPr>
                <w:rStyle w:val="row-content"/>
                <w:color w:val="244061"/>
              </w:rPr>
              <w:t xml:space="preserve">, Standard 19/11/2020</w:t>
            </w:r>
          </w:p>
          <w:p>
            <w:r>
              <w:br/>
            </w:r>
          </w:p>
        </w:tc>
      </w:tr>
    </w:tbl>
    <w:p>
      <w:r>
        <w:br/>
      </w:r>
    </w:p>
    <w:sectPr>
      <w:footerReference xmlns:r="http://schemas.openxmlformats.org/officeDocument/2006/relationships" w:type="default" r:id="Rab78097ea79049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715161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d767c3252c41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78097ea7904910" /><Relationship Type="http://schemas.openxmlformats.org/officeDocument/2006/relationships/header" Target="/word/header1.xml" Id="Rba498eebadc54369" /><Relationship Type="http://schemas.openxmlformats.org/officeDocument/2006/relationships/settings" Target="/word/settings.xml" Id="Rfb24167225434d9d" /><Relationship Type="http://schemas.openxmlformats.org/officeDocument/2006/relationships/styles" Target="/word/styles.xml" Id="Rb5dff2a7698f4861" /><Relationship Type="http://schemas.openxmlformats.org/officeDocument/2006/relationships/hyperlink" Target="https://meteor.aihw.gov.au/RegistrationAuthority/12" TargetMode="External" Id="R7cff35948ec8473d" /><Relationship Type="http://schemas.openxmlformats.org/officeDocument/2006/relationships/hyperlink" Target="https://meteor.aihw.gov.au/content/715015" TargetMode="External" Id="R7fa248e0e8a049e4" /><Relationship Type="http://schemas.openxmlformats.org/officeDocument/2006/relationships/hyperlink" Target="https://meteor.aihw.gov.au/RegistrationAuthority/12" TargetMode="External" Id="R4ef108a14fff42f2" /><Relationship Type="http://schemas.openxmlformats.org/officeDocument/2006/relationships/hyperlink" Target="https://meteor.aihw.gov.au/content/715015" TargetMode="External" Id="R5b697e7ee4254f96" /><Relationship Type="http://schemas.openxmlformats.org/officeDocument/2006/relationships/hyperlink" Target="https://meteor.aihw.gov.au/RegistrationAuthority/12" TargetMode="External" Id="Rdc727ac6051e42d9" /><Relationship Type="http://schemas.openxmlformats.org/officeDocument/2006/relationships/numbering" Target="/word/numbering.xml" Id="Ra8d442e0938647e2" /><Relationship Type="http://schemas.openxmlformats.org/officeDocument/2006/relationships/hyperlink" Target="https://meteor.aihw.gov.au/content/269967" TargetMode="External" Id="R047aab1cd6a44465" /><Relationship Type="http://schemas.openxmlformats.org/officeDocument/2006/relationships/hyperlink" Target="https://meteor.aihw.gov.au/content/394352" TargetMode="External" Id="R54c0342dde7c461e" /><Relationship Type="http://schemas.openxmlformats.org/officeDocument/2006/relationships/hyperlink" Target="https://meteor.aihw.gov.au/content/641349" TargetMode="External" Id="Rf7fd4ab999a84d4f" /><Relationship Type="http://schemas.openxmlformats.org/officeDocument/2006/relationships/hyperlink" Target="https://meteor.aihw.gov.au/content/640978" TargetMode="External" Id="R12ac602b583a4170" /><Relationship Type="http://schemas.openxmlformats.org/officeDocument/2006/relationships/hyperlink" Target="https://meteor.aihw.gov.au/content/394352" TargetMode="External" Id="R337dec6898bf490f" /><Relationship Type="http://schemas.openxmlformats.org/officeDocument/2006/relationships/hyperlink" Target="https://meteor.aihw.gov.au/content/641349" TargetMode="External" Id="R7af2e9ed91514c8d" /><Relationship Type="http://schemas.openxmlformats.org/officeDocument/2006/relationships/hyperlink" Target="https://meteor.aihw.gov.au/content/641014" TargetMode="External" Id="Rc18729cb08b6443f" /><Relationship Type="http://schemas.openxmlformats.org/officeDocument/2006/relationships/hyperlink" Target="https://meteor.aihw.gov.au/content/394352" TargetMode="External" Id="R7ab76910644a476b" /><Relationship Type="http://schemas.openxmlformats.org/officeDocument/2006/relationships/hyperlink" Target="https://meteor.aihw.gov.au/content/641349" TargetMode="External" Id="R036d900fea2c4b41" /><Relationship Type="http://schemas.openxmlformats.org/officeDocument/2006/relationships/hyperlink" Target="https://meteor.aihw.gov.au/content/641379" TargetMode="External" Id="R44ac20008f724dcb" /><Relationship Type="http://schemas.openxmlformats.org/officeDocument/2006/relationships/hyperlink" Target="https://meteor.aihw.gov.au/content/394352" TargetMode="External" Id="R9f4ca6ee564749cd" /><Relationship Type="http://schemas.openxmlformats.org/officeDocument/2006/relationships/hyperlink" Target="https://meteor.aihw.gov.au/content/641349" TargetMode="External" Id="R70fdc7539594400d" /><Relationship Type="http://schemas.openxmlformats.org/officeDocument/2006/relationships/hyperlink" Target="https://meteor.aihw.gov.au/content/719790" TargetMode="External" Id="R234c1d878fd543b7" /><Relationship Type="http://schemas.openxmlformats.org/officeDocument/2006/relationships/hyperlink" Target="https://meteor.aihw.gov.au/content/388656" TargetMode="External" Id="R453b23bfcb844036" /><Relationship Type="http://schemas.openxmlformats.org/officeDocument/2006/relationships/hyperlink" Target="https://meteor.aihw.gov.au/content/704699" TargetMode="External" Id="R45c7b68321b64b60" /><Relationship Type="http://schemas.openxmlformats.org/officeDocument/2006/relationships/hyperlink" Target="https://meteor.aihw.gov.au/content/602543" TargetMode="External" Id="Rb053b0875dba4bb9" /><Relationship Type="http://schemas.openxmlformats.org/officeDocument/2006/relationships/hyperlink" Target="https://meteor.aihw.gov.au/content/394352" TargetMode="External" Id="Rad8515cd732844c1" /><Relationship Type="http://schemas.openxmlformats.org/officeDocument/2006/relationships/hyperlink" Target="https://meteor.aihw.gov.au/content/641349" TargetMode="External" Id="R015b253a0d91413c" /><Relationship Type="http://schemas.openxmlformats.org/officeDocument/2006/relationships/hyperlink" Target="https://meteor.aihw.gov.au/content/659725" TargetMode="External" Id="R2014c5eaed66405a" /><Relationship Type="http://schemas.openxmlformats.org/officeDocument/2006/relationships/hyperlink" Target="https://meteor.aihw.gov.au/content/394352" TargetMode="External" Id="Rf0d02d4698ff4a14" /><Relationship Type="http://schemas.openxmlformats.org/officeDocument/2006/relationships/hyperlink" Target="https://meteor.aihw.gov.au/content/641349" TargetMode="External" Id="R65a28730a8d14b7c" /><Relationship Type="http://schemas.openxmlformats.org/officeDocument/2006/relationships/hyperlink" Target="https://meteor.aihw.gov.au/content/721641" TargetMode="External" Id="Rb87e92c2abcf4e9a" /><Relationship Type="http://schemas.openxmlformats.org/officeDocument/2006/relationships/hyperlink" Target="https://meteor.aihw.gov.au/content/719790" TargetMode="External" Id="R5be1f672e0f34294" /><Relationship Type="http://schemas.openxmlformats.org/officeDocument/2006/relationships/hyperlink" Target="https://meteor.aihw.gov.au/content/394352" TargetMode="External" Id="R61f43042aba14775" /><Relationship Type="http://schemas.openxmlformats.org/officeDocument/2006/relationships/hyperlink" Target="https://meteor.aihw.gov.au/content/704699" TargetMode="External" Id="R1d79a753b59b4bfa" /><Relationship Type="http://schemas.openxmlformats.org/officeDocument/2006/relationships/hyperlink" Target="https://meteor.aihw.gov.au/content/728333" TargetMode="External" Id="R704d99805f4847c1" /><Relationship Type="http://schemas.openxmlformats.org/officeDocument/2006/relationships/hyperlink" Target="https://meteor.aihw.gov.au/RegistrationAuthority/12" TargetMode="External" Id="Rf36c3dab19d14254" /><Relationship Type="http://schemas.openxmlformats.org/officeDocument/2006/relationships/hyperlink" Target="https://meteor.aihw.gov.au/content/715192" TargetMode="External" Id="R314aa77a26a24139" /><Relationship Type="http://schemas.openxmlformats.org/officeDocument/2006/relationships/hyperlink" Target="https://meteor.aihw.gov.au/RegistrationAuthority/12" TargetMode="External" Id="R1545baf649cc4b54" /><Relationship Type="http://schemas.openxmlformats.org/officeDocument/2006/relationships/hyperlink" Target="https://meteor.aihw.gov.au/content/715368" TargetMode="External" Id="R004f4030a6564b77" /><Relationship Type="http://schemas.openxmlformats.org/officeDocument/2006/relationships/hyperlink" Target="https://meteor.aihw.gov.au/RegistrationAuthority/12" TargetMode="External" Id="R4913f599b7a14839" /><Relationship Type="http://schemas.openxmlformats.org/officeDocument/2006/relationships/hyperlink" Target="https://meteor.aihw.gov.au/content/716490" TargetMode="External" Id="Rf1405e170b214f70" /><Relationship Type="http://schemas.openxmlformats.org/officeDocument/2006/relationships/hyperlink" Target="https://meteor.aihw.gov.au/RegistrationAuthority/12" TargetMode="External" Id="Rf63fec6c954f47c4" /><Relationship Type="http://schemas.openxmlformats.org/officeDocument/2006/relationships/hyperlink" Target="https://meteor.aihw.gov.au/content/725797" TargetMode="External" Id="R190ad62dde3e4ccd" /><Relationship Type="http://schemas.openxmlformats.org/officeDocument/2006/relationships/hyperlink" Target="https://meteor.aihw.gov.au/RegistrationAuthority/12" TargetMode="External" Id="R648cda1a631640cf" /><Relationship Type="http://schemas.openxmlformats.org/officeDocument/2006/relationships/hyperlink" Target="https://meteor.aihw.gov.au/content/716530" TargetMode="External" Id="R4ede9bea360548e3" /><Relationship Type="http://schemas.openxmlformats.org/officeDocument/2006/relationships/hyperlink" Target="https://meteor.aihw.gov.au/RegistrationAuthority/12" TargetMode="External" Id="R1331e2b255db4ca6" /><Relationship Type="http://schemas.openxmlformats.org/officeDocument/2006/relationships/hyperlink" Target="https://meteor.aihw.gov.au/content/725793" TargetMode="External" Id="R56d2ec41a9fe4de7" /><Relationship Type="http://schemas.openxmlformats.org/officeDocument/2006/relationships/hyperlink" Target="https://meteor.aihw.gov.au/RegistrationAuthority/12" TargetMode="External" Id="Rb0c7f957a05c40a6" /><Relationship Type="http://schemas.openxmlformats.org/officeDocument/2006/relationships/hyperlink" Target="https://meteor.aihw.gov.au/content/716786" TargetMode="External" Id="R63406ea358384ecb" /><Relationship Type="http://schemas.openxmlformats.org/officeDocument/2006/relationships/hyperlink" Target="https://meteor.aihw.gov.au/RegistrationAuthority/12" TargetMode="External" Id="R6d4270b246d04888" /><Relationship Type="http://schemas.openxmlformats.org/officeDocument/2006/relationships/hyperlink" Target="https://meteor.aihw.gov.au/content/725779" TargetMode="External" Id="R60e2238883f84b72" /><Relationship Type="http://schemas.openxmlformats.org/officeDocument/2006/relationships/hyperlink" Target="https://meteor.aihw.gov.au/RegistrationAuthority/12" TargetMode="External" Id="R7b511492724e489b" /></Relationships>
</file>

<file path=word/_rels/header1.xml.rels>&#65279;<?xml version="1.0" encoding="utf-8"?><Relationships xmlns="http://schemas.openxmlformats.org/package/2006/relationships"><Relationship Type="http://schemas.openxmlformats.org/officeDocument/2006/relationships/image" Target="/media/image.png" Id="R33d767c3252c41b4" /></Relationships>
</file>