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f427565ce0419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57ae1dbb347ad">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a98d8c67c6914dbc">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e023a6fd90432e">
              <w:r>
                <w:rPr>
                  <w:rStyle w:val="Hyperlink"/>
                </w:rPr>
                <w:t xml:space="preserve">Australian Health Performance Framework, 2020</w:t>
              </w:r>
            </w:hyperlink>
          </w:p>
          <w:p>
            <w:pPr>
              <w:spacing w:before="0" w:after="0"/>
            </w:pPr>
            <w:r>
              <w:rPr>
                <w:rStyle w:val="row-content"/>
                <w:color w:val="244061"/>
              </w:rPr>
              <w:t xml:space="preserve">       </w:t>
            </w:r>
            <w:hyperlink w:history="true" r:id="R0b22fdec32224402">
              <w:r>
                <w:rPr>
                  <w:rStyle w:val="Hyperlink"/>
                  <w:color w:val="244061"/>
                </w:rPr>
                <w:t xml:space="preserve">Health</w:t>
              </w:r>
            </w:hyperlink>
            <w:r>
              <w:rPr>
                <w:rStyle w:val="row-content"/>
                <w:color w:val="244061"/>
              </w:rPr>
              <w:t xml:space="preserve">, Superseded 11/07/2023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011e9a456f443d5">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e85f9fcae581409a">
              <w:r>
                <w:rPr>
                  <w:rStyle w:val="Hyperlink"/>
                  <w:color w:val="244061"/>
                </w:rPr>
                <w:t xml:space="preserve">Health</w:t>
              </w:r>
            </w:hyperlink>
            <w:r>
              <w:rPr>
                <w:rStyle w:val="row-content"/>
                <w:color w:val="244061"/>
              </w:rPr>
              <w:t xml:space="preserve">, Superseded 13/10/2021</w:t>
            </w:r>
          </w:p>
          <w:p>
            <w:r>
              <w:br/>
            </w:r>
            <w:hyperlink w:history="true" r:id="Rc65a0364e7dd48b8">
              <w:r>
                <w:rPr>
                  <w:rStyle w:val="Hyperlink"/>
                </w:rPr>
                <w:t xml:space="preserve">Australian Health Performance Framework: PI 1.2.2–Children exposed to tobacco smoke in the home, 2019</w:t>
              </w:r>
            </w:hyperlink>
          </w:p>
          <w:p>
            <w:pPr>
              <w:spacing w:before="0" w:after="0"/>
            </w:pPr>
            <w:r>
              <w:rPr>
                <w:rStyle w:val="row-content"/>
                <w:color w:val="244061"/>
              </w:rPr>
              <w:t xml:space="preserve">       </w:t>
            </w:r>
            <w:hyperlink w:history="true" r:id="Rf2380a9db25a47f4">
              <w:r>
                <w:rPr>
                  <w:rStyle w:val="Hyperlink"/>
                  <w:color w:val="244061"/>
                </w:rPr>
                <w:t xml:space="preserve">Health</w:t>
              </w:r>
            </w:hyperlink>
            <w:r>
              <w:rPr>
                <w:rStyle w:val="row-content"/>
                <w:color w:val="244061"/>
              </w:rPr>
              <w:t xml:space="preserve">, Superseded 13/10/2021</w:t>
            </w:r>
          </w:p>
          <w:p>
            <w:r>
              <w:br/>
            </w:r>
            <w:hyperlink w:history="true" r:id="R74eceda523394a7f">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f3d062cdf5e14c1e">
              <w:r>
                <w:rPr>
                  <w:rStyle w:val="Hyperlink"/>
                  <w:color w:val="244061"/>
                </w:rPr>
                <w:t xml:space="preserve">Health</w:t>
              </w:r>
            </w:hyperlink>
            <w:r>
              <w:rPr>
                <w:rStyle w:val="row-content"/>
                <w:color w:val="244061"/>
              </w:rPr>
              <w:t xml:space="preserve">, Superseded 13/10/2021</w:t>
            </w:r>
          </w:p>
          <w:p>
            <w:r>
              <w:br/>
            </w:r>
            <w:hyperlink w:history="true" r:id="Ra622b0df0d084dc8">
              <w:r>
                <w:rPr>
                  <w:rStyle w:val="Hyperlink"/>
                </w:rPr>
                <w:t xml:space="preserve">Australian Health Performance Framework: PI 1.2.4–Inadequate fruit and vegetable intake, 2019</w:t>
              </w:r>
            </w:hyperlink>
          </w:p>
          <w:p>
            <w:pPr>
              <w:spacing w:before="0" w:after="0"/>
            </w:pPr>
            <w:r>
              <w:rPr>
                <w:rStyle w:val="row-content"/>
                <w:color w:val="244061"/>
              </w:rPr>
              <w:t xml:space="preserve">       </w:t>
            </w:r>
            <w:hyperlink w:history="true" r:id="Re0c63a0dcc5f4557">
              <w:r>
                <w:rPr>
                  <w:rStyle w:val="Hyperlink"/>
                  <w:color w:val="244061"/>
                </w:rPr>
                <w:t xml:space="preserve">Health</w:t>
              </w:r>
            </w:hyperlink>
            <w:r>
              <w:rPr>
                <w:rStyle w:val="row-content"/>
                <w:color w:val="244061"/>
              </w:rPr>
              <w:t xml:space="preserve">, Superseded 13/10/2021</w:t>
            </w:r>
          </w:p>
          <w:p>
            <w:r>
              <w:br/>
            </w:r>
            <w:hyperlink w:history="true" r:id="Rffeaf216e007446c">
              <w:r>
                <w:rPr>
                  <w:rStyle w:val="Hyperlink"/>
                </w:rPr>
                <w:t xml:space="preserve">Australian Health Performance Framework: PI 1.2.5–Insufficient physical activity, 2019</w:t>
              </w:r>
            </w:hyperlink>
          </w:p>
          <w:p>
            <w:pPr>
              <w:spacing w:before="0" w:after="0"/>
            </w:pPr>
            <w:r>
              <w:rPr>
                <w:rStyle w:val="row-content"/>
                <w:color w:val="244061"/>
              </w:rPr>
              <w:t xml:space="preserve">       </w:t>
            </w:r>
            <w:hyperlink w:history="true" r:id="Rf1eb75e08b134f44">
              <w:r>
                <w:rPr>
                  <w:rStyle w:val="Hyperlink"/>
                  <w:color w:val="244061"/>
                </w:rPr>
                <w:t xml:space="preserve">Health</w:t>
              </w:r>
            </w:hyperlink>
            <w:r>
              <w:rPr>
                <w:rStyle w:val="row-content"/>
                <w:color w:val="244061"/>
              </w:rPr>
              <w:t xml:space="preserve">, Superseded 13/10/2021</w:t>
            </w:r>
          </w:p>
          <w:p>
            <w:r>
              <w:br/>
            </w:r>
            <w:hyperlink w:history="true" r:id="R0388c4a645c24392">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b7836500e3b6400c">
              <w:r>
                <w:rPr>
                  <w:rStyle w:val="Hyperlink"/>
                  <w:color w:val="244061"/>
                </w:rPr>
                <w:t xml:space="preserve">Health</w:t>
              </w:r>
            </w:hyperlink>
            <w:r>
              <w:rPr>
                <w:rStyle w:val="row-content"/>
                <w:color w:val="244061"/>
              </w:rPr>
              <w:t xml:space="preserve">, Superseded 13/10/2021</w:t>
            </w:r>
          </w:p>
          <w:p>
            <w:r>
              <w:br/>
            </w:r>
            <w:hyperlink w:history="true" r:id="R3d57030fa41f4314">
              <w:r>
                <w:rPr>
                  <w:rStyle w:val="Hyperlink"/>
                </w:rPr>
                <w:t xml:space="preserve">Australian Health Performance Framework: PI 2.1.1–Immunisation rates for vaccines in the national schedule, 2019</w:t>
              </w:r>
            </w:hyperlink>
          </w:p>
          <w:p>
            <w:pPr>
              <w:spacing w:before="0" w:after="0"/>
            </w:pPr>
            <w:r>
              <w:rPr>
                <w:rStyle w:val="row-content"/>
                <w:color w:val="244061"/>
              </w:rPr>
              <w:t xml:space="preserve">       </w:t>
            </w:r>
            <w:hyperlink w:history="true" r:id="R33af3ef3342a44a8">
              <w:r>
                <w:rPr>
                  <w:rStyle w:val="Hyperlink"/>
                  <w:color w:val="244061"/>
                </w:rPr>
                <w:t xml:space="preserve">Health</w:t>
              </w:r>
            </w:hyperlink>
            <w:r>
              <w:rPr>
                <w:rStyle w:val="row-content"/>
                <w:color w:val="244061"/>
              </w:rPr>
              <w:t xml:space="preserve">, Superseded 01/12/2020</w:t>
            </w:r>
          </w:p>
          <w:p>
            <w:r>
              <w:br/>
            </w:r>
            <w:hyperlink w:history="true" r:id="R27f6e81a6df44f0a">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9535204decd64014">
              <w:r>
                <w:rPr>
                  <w:rStyle w:val="Hyperlink"/>
                  <w:color w:val="244061"/>
                </w:rPr>
                <w:t xml:space="preserve">Health</w:t>
              </w:r>
            </w:hyperlink>
            <w:r>
              <w:rPr>
                <w:rStyle w:val="row-content"/>
                <w:color w:val="244061"/>
              </w:rPr>
              <w:t xml:space="preserve">, Superseded 01/12/2020</w:t>
            </w:r>
          </w:p>
          <w:p>
            <w:r>
              <w:br/>
            </w:r>
            <w:hyperlink w:history="true" r:id="R5ac4418dd58a4842">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0c058d3e47ef49e4">
              <w:r>
                <w:rPr>
                  <w:rStyle w:val="Hyperlink"/>
                  <w:color w:val="244061"/>
                </w:rPr>
                <w:t xml:space="preserve">Health</w:t>
              </w:r>
            </w:hyperlink>
            <w:r>
              <w:rPr>
                <w:rStyle w:val="row-content"/>
                <w:color w:val="244061"/>
              </w:rPr>
              <w:t xml:space="preserve">, Superseded 13/10/2021</w:t>
            </w:r>
          </w:p>
          <w:p>
            <w:r>
              <w:br/>
            </w:r>
            <w:hyperlink w:history="true" r:id="R865ea80a62534165">
              <w:r>
                <w:rPr>
                  <w:rStyle w:val="Hyperlink"/>
                </w:rPr>
                <w:t xml:space="preserve">Australian Health Performance Framework: PI 2.1.3b–Cancer screening rates, BreastScreen Australia participation rate, 2019</w:t>
              </w:r>
            </w:hyperlink>
          </w:p>
          <w:p>
            <w:pPr>
              <w:spacing w:before="0" w:after="0"/>
            </w:pPr>
            <w:r>
              <w:rPr>
                <w:rStyle w:val="row-content"/>
                <w:color w:val="244061"/>
              </w:rPr>
              <w:t xml:space="preserve">       </w:t>
            </w:r>
            <w:hyperlink w:history="true" r:id="R7bbb84dfc43b4d60">
              <w:r>
                <w:rPr>
                  <w:rStyle w:val="Hyperlink"/>
                  <w:color w:val="244061"/>
                </w:rPr>
                <w:t xml:space="preserve">Health</w:t>
              </w:r>
            </w:hyperlink>
            <w:r>
              <w:rPr>
                <w:rStyle w:val="row-content"/>
                <w:color w:val="244061"/>
              </w:rPr>
              <w:t xml:space="preserve">, Superseded 01/12/2020</w:t>
            </w:r>
          </w:p>
          <w:p>
            <w:r>
              <w:br/>
            </w:r>
            <w:hyperlink w:history="true" r:id="Re757ae6ec3d54f25">
              <w:r>
                <w:rPr>
                  <w:rStyle w:val="Hyperlink"/>
                </w:rPr>
                <w:t xml:space="preserve">Australian Health Performance Framework: PI 2.1.3c–Cancer screening rates, National Cervical Screening Program participation rate, 2019</w:t>
              </w:r>
            </w:hyperlink>
          </w:p>
          <w:p>
            <w:pPr>
              <w:spacing w:before="0" w:after="0"/>
            </w:pPr>
            <w:r>
              <w:rPr>
                <w:rStyle w:val="row-content"/>
                <w:color w:val="244061"/>
              </w:rPr>
              <w:t xml:space="preserve">       </w:t>
            </w:r>
            <w:hyperlink w:history="true" r:id="R485fd7b8c7434f3e">
              <w:r>
                <w:rPr>
                  <w:rStyle w:val="Hyperlink"/>
                  <w:color w:val="244061"/>
                </w:rPr>
                <w:t xml:space="preserve">Health</w:t>
              </w:r>
            </w:hyperlink>
            <w:r>
              <w:rPr>
                <w:rStyle w:val="row-content"/>
                <w:color w:val="244061"/>
              </w:rPr>
              <w:t xml:space="preserve">, Superseded 13/10/2021</w:t>
            </w:r>
          </w:p>
          <w:p>
            <w:r>
              <w:br/>
            </w:r>
            <w:hyperlink w:history="true" r:id="R8db2b65b5b314def">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9a8e15e3c86a424a">
              <w:r>
                <w:rPr>
                  <w:rStyle w:val="Hyperlink"/>
                  <w:color w:val="244061"/>
                </w:rPr>
                <w:t xml:space="preserve">Health</w:t>
              </w:r>
            </w:hyperlink>
            <w:r>
              <w:rPr>
                <w:rStyle w:val="row-content"/>
                <w:color w:val="244061"/>
              </w:rPr>
              <w:t xml:space="preserve">, Superseded 01/12/2020</w:t>
            </w:r>
          </w:p>
          <w:p>
            <w:r>
              <w:br/>
            </w:r>
            <w:hyperlink w:history="true" r:id="R40eb2d7a6ce24e92">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b04e630190924a43">
              <w:r>
                <w:rPr>
                  <w:rStyle w:val="Hyperlink"/>
                  <w:color w:val="244061"/>
                </w:rPr>
                <w:t xml:space="preserve">Health</w:t>
              </w:r>
            </w:hyperlink>
            <w:r>
              <w:rPr>
                <w:rStyle w:val="row-content"/>
                <w:color w:val="244061"/>
              </w:rPr>
              <w:t xml:space="preserve">, Superseded 01/12/2020</w:t>
            </w:r>
          </w:p>
          <w:p>
            <w:r>
              <w:br/>
            </w:r>
            <w:hyperlink w:history="true" r:id="R48ae78ddff974741">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f2664fa016314349">
              <w:r>
                <w:rPr>
                  <w:rStyle w:val="Hyperlink"/>
                  <w:color w:val="244061"/>
                </w:rPr>
                <w:t xml:space="preserve">Health</w:t>
              </w:r>
            </w:hyperlink>
            <w:r>
              <w:rPr>
                <w:rStyle w:val="row-content"/>
                <w:color w:val="244061"/>
              </w:rPr>
              <w:t xml:space="preserve">, Superseded 01/12/2020</w:t>
            </w:r>
          </w:p>
          <w:p>
            <w:r>
              <w:br/>
            </w:r>
            <w:hyperlink w:history="true" r:id="R4f5a06873c7f4ed7">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6f33575563b745ca">
              <w:r>
                <w:rPr>
                  <w:rStyle w:val="Hyperlink"/>
                  <w:color w:val="244061"/>
                </w:rPr>
                <w:t xml:space="preserve">Health</w:t>
              </w:r>
            </w:hyperlink>
            <w:r>
              <w:rPr>
                <w:rStyle w:val="row-content"/>
                <w:color w:val="244061"/>
              </w:rPr>
              <w:t xml:space="preserve">, Superseded 13/10/2021</w:t>
            </w:r>
          </w:p>
          <w:p>
            <w:r>
              <w:br/>
            </w:r>
            <w:hyperlink w:history="true" r:id="Re0fb8e5da7e940d3">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390cb6192e514192">
              <w:r>
                <w:rPr>
                  <w:rStyle w:val="Hyperlink"/>
                  <w:color w:val="244061"/>
                </w:rPr>
                <w:t xml:space="preserve">Health</w:t>
              </w:r>
            </w:hyperlink>
            <w:r>
              <w:rPr>
                <w:rStyle w:val="row-content"/>
                <w:color w:val="244061"/>
              </w:rPr>
              <w:t xml:space="preserve">, Superseded 13/10/2021</w:t>
            </w:r>
          </w:p>
          <w:p>
            <w:r>
              <w:br/>
            </w:r>
            <w:hyperlink w:history="true" r:id="Rde76a1a6340f4385">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7b502479ef6248d4">
              <w:r>
                <w:rPr>
                  <w:rStyle w:val="Hyperlink"/>
                  <w:color w:val="244061"/>
                </w:rPr>
                <w:t xml:space="preserve">Health</w:t>
              </w:r>
            </w:hyperlink>
            <w:r>
              <w:rPr>
                <w:rStyle w:val="row-content"/>
                <w:color w:val="244061"/>
              </w:rPr>
              <w:t xml:space="preserve">, Superseded 13/10/2021</w:t>
            </w:r>
          </w:p>
          <w:p>
            <w:r>
              <w:br/>
            </w:r>
            <w:hyperlink w:history="true" r:id="R8a856e5aaa7244dd">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092baa170d95459c">
              <w:r>
                <w:rPr>
                  <w:rStyle w:val="Hyperlink"/>
                  <w:color w:val="244061"/>
                </w:rPr>
                <w:t xml:space="preserve">Health</w:t>
              </w:r>
            </w:hyperlink>
            <w:r>
              <w:rPr>
                <w:rStyle w:val="row-content"/>
                <w:color w:val="244061"/>
              </w:rPr>
              <w:t xml:space="preserve">, Superseded 13/10/2021</w:t>
            </w:r>
          </w:p>
          <w:p>
            <w:r>
              <w:br/>
            </w:r>
            <w:hyperlink w:history="true" r:id="Rced3e59a17434b5e">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e605ede461a74028">
              <w:r>
                <w:rPr>
                  <w:rStyle w:val="Hyperlink"/>
                  <w:color w:val="244061"/>
                </w:rPr>
                <w:t xml:space="preserve">Health</w:t>
              </w:r>
            </w:hyperlink>
            <w:r>
              <w:rPr>
                <w:rStyle w:val="row-content"/>
                <w:color w:val="244061"/>
              </w:rPr>
              <w:t xml:space="preserve">, Superseded 13/10/2021</w:t>
            </w:r>
          </w:p>
          <w:p>
            <w:r>
              <w:br/>
            </w:r>
            <w:hyperlink w:history="true" r:id="Re6251ac9e5394eb6">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4003f0ba4bd44002">
              <w:r>
                <w:rPr>
                  <w:rStyle w:val="Hyperlink"/>
                  <w:color w:val="244061"/>
                </w:rPr>
                <w:t xml:space="preserve">Health</w:t>
              </w:r>
            </w:hyperlink>
            <w:r>
              <w:rPr>
                <w:rStyle w:val="row-content"/>
                <w:color w:val="244061"/>
              </w:rPr>
              <w:t xml:space="preserve">, Superseded 13/10/2021</w:t>
            </w:r>
          </w:p>
          <w:p>
            <w:r>
              <w:br/>
            </w:r>
            <w:hyperlink w:history="true" r:id="Ra90ea4cbeb5a4d8f">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44a2bb893f154c3b">
              <w:r>
                <w:rPr>
                  <w:rStyle w:val="Hyperlink"/>
                  <w:color w:val="244061"/>
                </w:rPr>
                <w:t xml:space="preserve">Health</w:t>
              </w:r>
            </w:hyperlink>
            <w:r>
              <w:rPr>
                <w:rStyle w:val="row-content"/>
                <w:color w:val="244061"/>
              </w:rPr>
              <w:t xml:space="preserve">, Superseded 13/10/2021</w:t>
            </w:r>
          </w:p>
          <w:p>
            <w:r>
              <w:br/>
            </w:r>
            <w:hyperlink w:history="true" r:id="R198997d0603f4bc5">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617add5bad924d36">
              <w:r>
                <w:rPr>
                  <w:rStyle w:val="Hyperlink"/>
                  <w:color w:val="244061"/>
                </w:rPr>
                <w:t xml:space="preserve">Health</w:t>
              </w:r>
            </w:hyperlink>
            <w:r>
              <w:rPr>
                <w:rStyle w:val="row-content"/>
                <w:color w:val="244061"/>
              </w:rPr>
              <w:t xml:space="preserve">, Superseded 13/10/2021</w:t>
            </w:r>
          </w:p>
          <w:p>
            <w:r>
              <w:br/>
            </w:r>
            <w:hyperlink w:history="true" r:id="R4e9d84dc74534a2a">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4d34dcb0799c4e26">
              <w:r>
                <w:rPr>
                  <w:rStyle w:val="Hyperlink"/>
                  <w:color w:val="244061"/>
                </w:rPr>
                <w:t xml:space="preserve">Health</w:t>
              </w:r>
            </w:hyperlink>
            <w:r>
              <w:rPr>
                <w:rStyle w:val="row-content"/>
                <w:color w:val="244061"/>
              </w:rPr>
              <w:t xml:space="preserve">, Superseded 13/10/2021</w:t>
            </w:r>
          </w:p>
          <w:p>
            <w:r>
              <w:br/>
            </w:r>
            <w:hyperlink w:history="true" r:id="R270e1596941141d3">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757d320f98484706">
              <w:r>
                <w:rPr>
                  <w:rStyle w:val="Hyperlink"/>
                  <w:color w:val="244061"/>
                </w:rPr>
                <w:t xml:space="preserve">Health</w:t>
              </w:r>
            </w:hyperlink>
            <w:r>
              <w:rPr>
                <w:rStyle w:val="row-content"/>
                <w:color w:val="244061"/>
              </w:rPr>
              <w:t xml:space="preserve">, Superseded 13/10/2021</w:t>
            </w:r>
          </w:p>
          <w:p>
            <w:r>
              <w:br/>
            </w:r>
            <w:hyperlink w:history="true" r:id="R5d839bca2d434d5b">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6698dd524d9842f0">
              <w:r>
                <w:rPr>
                  <w:rStyle w:val="Hyperlink"/>
                  <w:color w:val="244061"/>
                </w:rPr>
                <w:t xml:space="preserve">Health</w:t>
              </w:r>
            </w:hyperlink>
            <w:r>
              <w:rPr>
                <w:rStyle w:val="row-content"/>
                <w:color w:val="244061"/>
              </w:rPr>
              <w:t xml:space="preserve">, Superseded 13/10/2021</w:t>
            </w:r>
          </w:p>
          <w:p>
            <w:r>
              <w:br/>
            </w:r>
            <w:hyperlink w:history="true" r:id="R31e7df32f5c34bdf">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9eee18ee02e94e31">
              <w:r>
                <w:rPr>
                  <w:rStyle w:val="Hyperlink"/>
                  <w:color w:val="244061"/>
                </w:rPr>
                <w:t xml:space="preserve">Health</w:t>
              </w:r>
            </w:hyperlink>
            <w:r>
              <w:rPr>
                <w:rStyle w:val="row-content"/>
                <w:color w:val="244061"/>
              </w:rPr>
              <w:t xml:space="preserve">, Superseded 13/10/2021</w:t>
            </w:r>
          </w:p>
          <w:p>
            <w:r>
              <w:br/>
            </w:r>
            <w:hyperlink w:history="true" r:id="R5effa07652d44f65">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156ab9237efb49b6">
              <w:r>
                <w:rPr>
                  <w:rStyle w:val="Hyperlink"/>
                  <w:color w:val="244061"/>
                </w:rPr>
                <w:t xml:space="preserve">Health</w:t>
              </w:r>
            </w:hyperlink>
            <w:r>
              <w:rPr>
                <w:rStyle w:val="row-content"/>
                <w:color w:val="244061"/>
              </w:rPr>
              <w:t xml:space="preserve">, Superseded 13/10/2021</w:t>
            </w:r>
          </w:p>
          <w:p>
            <w:r>
              <w:br/>
            </w:r>
            <w:hyperlink w:history="true" r:id="R2a4b4e5e21b041ec">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112f46fb9a2a49ea">
              <w:r>
                <w:rPr>
                  <w:rStyle w:val="Hyperlink"/>
                  <w:color w:val="244061"/>
                </w:rPr>
                <w:t xml:space="preserve">Health</w:t>
              </w:r>
            </w:hyperlink>
            <w:r>
              <w:rPr>
                <w:rStyle w:val="row-content"/>
                <w:color w:val="244061"/>
              </w:rPr>
              <w:t xml:space="preserve">, Superseded 13/10/2021</w:t>
            </w:r>
          </w:p>
          <w:p>
            <w:r>
              <w:br/>
            </w:r>
            <w:hyperlink w:history="true" r:id="Rb4bb2240b8624d43">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c043464907254f71">
              <w:r>
                <w:rPr>
                  <w:rStyle w:val="Hyperlink"/>
                  <w:color w:val="244061"/>
                </w:rPr>
                <w:t xml:space="preserve">Health</w:t>
              </w:r>
            </w:hyperlink>
            <w:r>
              <w:rPr>
                <w:rStyle w:val="row-content"/>
                <w:color w:val="244061"/>
              </w:rPr>
              <w:t xml:space="preserve">, Superseded 01/12/2020</w:t>
            </w:r>
          </w:p>
          <w:p>
            <w:r>
              <w:br/>
            </w:r>
            <w:hyperlink w:history="true" r:id="R803cf1602f0040dc">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ff87cc91efaf4c88">
              <w:r>
                <w:rPr>
                  <w:rStyle w:val="Hyperlink"/>
                  <w:color w:val="244061"/>
                </w:rPr>
                <w:t xml:space="preserve">Health</w:t>
              </w:r>
            </w:hyperlink>
            <w:r>
              <w:rPr>
                <w:rStyle w:val="row-content"/>
                <w:color w:val="244061"/>
              </w:rPr>
              <w:t xml:space="preserve">, Superseded 13/10/2021</w:t>
            </w:r>
          </w:p>
          <w:p>
            <w:r>
              <w:br/>
            </w:r>
            <w:hyperlink w:history="true" r:id="Rc1770e8e82e14036">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cc3de786d1a949f0">
              <w:r>
                <w:rPr>
                  <w:rStyle w:val="Hyperlink"/>
                  <w:color w:val="244061"/>
                </w:rPr>
                <w:t xml:space="preserve">Health</w:t>
              </w:r>
            </w:hyperlink>
            <w:r>
              <w:rPr>
                <w:rStyle w:val="row-content"/>
                <w:color w:val="244061"/>
              </w:rPr>
              <w:t xml:space="preserve">, Superseded 01/12/2020</w:t>
            </w:r>
          </w:p>
          <w:p>
            <w:r>
              <w:br/>
            </w:r>
            <w:hyperlink w:history="true" r:id="Rcedff15a8d8a4da1">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3a81e0d15cef4a9f">
              <w:r>
                <w:rPr>
                  <w:rStyle w:val="Hyperlink"/>
                  <w:color w:val="244061"/>
                </w:rPr>
                <w:t xml:space="preserve">Health</w:t>
              </w:r>
            </w:hyperlink>
            <w:r>
              <w:rPr>
                <w:rStyle w:val="row-content"/>
                <w:color w:val="244061"/>
              </w:rPr>
              <w:t xml:space="preserve">, Superseded 13/10/2021</w:t>
            </w:r>
          </w:p>
          <w:p>
            <w:r>
              <w:br/>
            </w:r>
            <w:hyperlink w:history="true" r:id="R51caad52eefb4ff2">
              <w:r>
                <w:rPr>
                  <w:rStyle w:val="Hyperlink"/>
                </w:rPr>
                <w:t xml:space="preserve">Australian Health Performance Framework: PI 3.3.2–Self-assessed health status, 2019</w:t>
              </w:r>
            </w:hyperlink>
          </w:p>
          <w:p>
            <w:pPr>
              <w:spacing w:before="0" w:after="0"/>
            </w:pPr>
            <w:r>
              <w:rPr>
                <w:rStyle w:val="row-content"/>
                <w:color w:val="244061"/>
              </w:rPr>
              <w:t xml:space="preserve">       </w:t>
            </w:r>
            <w:hyperlink w:history="true" r:id="R407f55239a07404a">
              <w:r>
                <w:rPr>
                  <w:rStyle w:val="Hyperlink"/>
                  <w:color w:val="244061"/>
                </w:rPr>
                <w:t xml:space="preserve">Health</w:t>
              </w:r>
            </w:hyperlink>
            <w:r>
              <w:rPr>
                <w:rStyle w:val="row-content"/>
                <w:color w:val="244061"/>
              </w:rPr>
              <w:t xml:space="preserve">, Superseded 13/10/2021</w:t>
            </w:r>
          </w:p>
          <w:p>
            <w:r>
              <w:br/>
            </w:r>
            <w:hyperlink w:history="true" r:id="R9611ca8af3e74c01">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797eae4e08ce4db5">
              <w:r>
                <w:rPr>
                  <w:rStyle w:val="Hyperlink"/>
                  <w:color w:val="244061"/>
                </w:rPr>
                <w:t xml:space="preserve">Health</w:t>
              </w:r>
            </w:hyperlink>
            <w:r>
              <w:rPr>
                <w:rStyle w:val="row-content"/>
                <w:color w:val="244061"/>
              </w:rPr>
              <w:t xml:space="preserve">, Superseded 13/10/2021</w:t>
            </w:r>
          </w:p>
          <w:p>
            <w:r>
              <w:br/>
            </w:r>
            <w:hyperlink w:history="true" r:id="R6097ecb89ccc42be">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7bd3533949ba459a">
              <w:r>
                <w:rPr>
                  <w:rStyle w:val="Hyperlink"/>
                  <w:color w:val="244061"/>
                </w:rPr>
                <w:t xml:space="preserve">Health</w:t>
              </w:r>
            </w:hyperlink>
            <w:r>
              <w:rPr>
                <w:rStyle w:val="row-content"/>
                <w:color w:val="244061"/>
              </w:rPr>
              <w:t xml:space="preserve">, Superseded 13/10/2021</w:t>
            </w:r>
          </w:p>
          <w:p>
            <w:r>
              <w:br/>
            </w:r>
            <w:hyperlink w:history="true" r:id="R74d72c0a263e4d75">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b6f526c447db4639">
              <w:r>
                <w:rPr>
                  <w:rStyle w:val="Hyperlink"/>
                  <w:color w:val="244061"/>
                </w:rPr>
                <w:t xml:space="preserve">Health</w:t>
              </w:r>
            </w:hyperlink>
            <w:r>
              <w:rPr>
                <w:rStyle w:val="row-content"/>
                <w:color w:val="244061"/>
              </w:rPr>
              <w:t xml:space="preserve">, Superseded 13/10/2021</w:t>
            </w:r>
          </w:p>
          <w:p>
            <w:r>
              <w:br/>
            </w:r>
            <w:hyperlink w:history="true" r:id="R9adf659717374d27">
              <w:r>
                <w:rPr>
                  <w:rStyle w:val="Hyperlink"/>
                </w:rPr>
                <w:t xml:space="preserve">Australian Health Performance Framework: PI 3.4.4–Mortality due to suicide, 2019</w:t>
              </w:r>
            </w:hyperlink>
          </w:p>
          <w:p>
            <w:pPr>
              <w:spacing w:before="0" w:after="0"/>
            </w:pPr>
            <w:r>
              <w:rPr>
                <w:rStyle w:val="row-content"/>
                <w:color w:val="244061"/>
              </w:rPr>
              <w:t xml:space="preserve">       </w:t>
            </w:r>
            <w:hyperlink w:history="true" r:id="Rc24b8545bc204ea5">
              <w:r>
                <w:rPr>
                  <w:rStyle w:val="Hyperlink"/>
                  <w:color w:val="244061"/>
                </w:rPr>
                <w:t xml:space="preserve">Health</w:t>
              </w:r>
            </w:hyperlink>
            <w:r>
              <w:rPr>
                <w:rStyle w:val="row-content"/>
                <w:color w:val="244061"/>
              </w:rPr>
              <w:t xml:space="preserve">, Superseded 13/10/2021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57612920d448f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ab0061e689d84a3d">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6348e8de7129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92104689e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8e8de71294b5c" /><Relationship Type="http://schemas.openxmlformats.org/officeDocument/2006/relationships/header" Target="/word/header1.xml" Id="Rec3774f8381447ac" /><Relationship Type="http://schemas.openxmlformats.org/officeDocument/2006/relationships/settings" Target="/word/settings.xml" Id="R217aff2c603f4e5a" /><Relationship Type="http://schemas.openxmlformats.org/officeDocument/2006/relationships/styles" Target="/word/styles.xml" Id="R4a96e6aa51bf4823" /><Relationship Type="http://schemas.openxmlformats.org/officeDocument/2006/relationships/hyperlink" Target="https://meteor.aihw.gov.au/RegistrationAuthority/12" TargetMode="External" Id="Re1457ae1dbb347ad" /><Relationship Type="http://schemas.openxmlformats.org/officeDocument/2006/relationships/hyperlink" Target="https://www.coaghealthcouncil.gov.au/Portals/0/OOS318_Attachment%201.pdf" TargetMode="External" Id="Ra98d8c67c6914dbc" /><Relationship Type="http://schemas.openxmlformats.org/officeDocument/2006/relationships/numbering" Target="/word/numbering.xml" Id="Rc6b9eb291f1e4b56" /><Relationship Type="http://schemas.openxmlformats.org/officeDocument/2006/relationships/hyperlink" Target="https://meteor.aihw.gov.au/content/728283" TargetMode="External" Id="R15e023a6fd90432e" /><Relationship Type="http://schemas.openxmlformats.org/officeDocument/2006/relationships/hyperlink" Target="https://meteor.aihw.gov.au/RegistrationAuthority/12" TargetMode="External" Id="R0b22fdec32224402" /><Relationship Type="http://schemas.openxmlformats.org/officeDocument/2006/relationships/hyperlink" Target="https://meteor.aihw.gov.au/content/715271" TargetMode="External" Id="R7011e9a456f443d5" /><Relationship Type="http://schemas.openxmlformats.org/officeDocument/2006/relationships/hyperlink" Target="https://meteor.aihw.gov.au/RegistrationAuthority/12" TargetMode="External" Id="Re85f9fcae581409a" /><Relationship Type="http://schemas.openxmlformats.org/officeDocument/2006/relationships/hyperlink" Target="https://meteor.aihw.gov.au/content/715401" TargetMode="External" Id="Rc65a0364e7dd48b8" /><Relationship Type="http://schemas.openxmlformats.org/officeDocument/2006/relationships/hyperlink" Target="https://meteor.aihw.gov.au/RegistrationAuthority/12" TargetMode="External" Id="Rf2380a9db25a47f4" /><Relationship Type="http://schemas.openxmlformats.org/officeDocument/2006/relationships/hyperlink" Target="https://meteor.aihw.gov.au/content/715275" TargetMode="External" Id="R74eceda523394a7f" /><Relationship Type="http://schemas.openxmlformats.org/officeDocument/2006/relationships/hyperlink" Target="https://meteor.aihw.gov.au/RegistrationAuthority/12" TargetMode="External" Id="Rf3d062cdf5e14c1e" /><Relationship Type="http://schemas.openxmlformats.org/officeDocument/2006/relationships/hyperlink" Target="https://meteor.aihw.gov.au/content/715403" TargetMode="External" Id="Ra622b0df0d084dc8" /><Relationship Type="http://schemas.openxmlformats.org/officeDocument/2006/relationships/hyperlink" Target="https://meteor.aihw.gov.au/RegistrationAuthority/12" TargetMode="External" Id="Re0c63a0dcc5f4557" /><Relationship Type="http://schemas.openxmlformats.org/officeDocument/2006/relationships/hyperlink" Target="https://meteor.aihw.gov.au/content/715405" TargetMode="External" Id="Rffeaf216e007446c" /><Relationship Type="http://schemas.openxmlformats.org/officeDocument/2006/relationships/hyperlink" Target="https://meteor.aihw.gov.au/RegistrationAuthority/12" TargetMode="External" Id="Rf1eb75e08b134f44" /><Relationship Type="http://schemas.openxmlformats.org/officeDocument/2006/relationships/hyperlink" Target="https://meteor.aihw.gov.au/content/715278" TargetMode="External" Id="R0388c4a645c24392" /><Relationship Type="http://schemas.openxmlformats.org/officeDocument/2006/relationships/hyperlink" Target="https://meteor.aihw.gov.au/RegistrationAuthority/12" TargetMode="External" Id="Rb7836500e3b6400c" /><Relationship Type="http://schemas.openxmlformats.org/officeDocument/2006/relationships/hyperlink" Target="https://meteor.aihw.gov.au/content/715012" TargetMode="External" Id="R3d57030fa41f4314" /><Relationship Type="http://schemas.openxmlformats.org/officeDocument/2006/relationships/hyperlink" Target="https://meteor.aihw.gov.au/RegistrationAuthority/12" TargetMode="External" Id="R33af3ef3342a44a8" /><Relationship Type="http://schemas.openxmlformats.org/officeDocument/2006/relationships/hyperlink" Target="https://meteor.aihw.gov.au/content/715044" TargetMode="External" Id="R27f6e81a6df44f0a" /><Relationship Type="http://schemas.openxmlformats.org/officeDocument/2006/relationships/hyperlink" Target="https://meteor.aihw.gov.au/RegistrationAuthority/12" TargetMode="External" Id="R9535204decd64014" /><Relationship Type="http://schemas.openxmlformats.org/officeDocument/2006/relationships/hyperlink" Target="https://meteor.aihw.gov.au/content/716157" TargetMode="External" Id="R5ac4418dd58a4842" /><Relationship Type="http://schemas.openxmlformats.org/officeDocument/2006/relationships/hyperlink" Target="https://meteor.aihw.gov.au/RegistrationAuthority/12" TargetMode="External" Id="R0c058d3e47ef49e4" /><Relationship Type="http://schemas.openxmlformats.org/officeDocument/2006/relationships/hyperlink" Target="https://meteor.aihw.gov.au/content/723531" TargetMode="External" Id="R865ea80a62534165" /><Relationship Type="http://schemas.openxmlformats.org/officeDocument/2006/relationships/hyperlink" Target="https://meteor.aihw.gov.au/RegistrationAuthority/12" TargetMode="External" Id="R7bbb84dfc43b4d60" /><Relationship Type="http://schemas.openxmlformats.org/officeDocument/2006/relationships/hyperlink" Target="https://meteor.aihw.gov.au/content/723528" TargetMode="External" Id="Re757ae6ec3d54f25" /><Relationship Type="http://schemas.openxmlformats.org/officeDocument/2006/relationships/hyperlink" Target="https://meteor.aihw.gov.au/RegistrationAuthority/12" TargetMode="External" Id="R485fd7b8c7434f3e" /><Relationship Type="http://schemas.openxmlformats.org/officeDocument/2006/relationships/hyperlink" Target="https://meteor.aihw.gov.au/content/715161" TargetMode="External" Id="R8db2b65b5b314def" /><Relationship Type="http://schemas.openxmlformats.org/officeDocument/2006/relationships/hyperlink" Target="https://meteor.aihw.gov.au/RegistrationAuthority/12" TargetMode="External" Id="R9a8e15e3c86a424a" /><Relationship Type="http://schemas.openxmlformats.org/officeDocument/2006/relationships/hyperlink" Target="https://meteor.aihw.gov.au/content/715188" TargetMode="External" Id="R40eb2d7a6ce24e92" /><Relationship Type="http://schemas.openxmlformats.org/officeDocument/2006/relationships/hyperlink" Target="https://meteor.aihw.gov.au/RegistrationAuthority/12" TargetMode="External" Id="Rb04e630190924a43" /><Relationship Type="http://schemas.openxmlformats.org/officeDocument/2006/relationships/hyperlink" Target="https://meteor.aihw.gov.au/content/715192" TargetMode="External" Id="R48ae78ddff974741" /><Relationship Type="http://schemas.openxmlformats.org/officeDocument/2006/relationships/hyperlink" Target="https://meteor.aihw.gov.au/RegistrationAuthority/12" TargetMode="External" Id="Rf2664fa016314349" /><Relationship Type="http://schemas.openxmlformats.org/officeDocument/2006/relationships/hyperlink" Target="https://meteor.aihw.gov.au/content/716174" TargetMode="External" Id="R4f5a06873c7f4ed7" /><Relationship Type="http://schemas.openxmlformats.org/officeDocument/2006/relationships/hyperlink" Target="https://meteor.aihw.gov.au/RegistrationAuthority/12" TargetMode="External" Id="R6f33575563b745ca" /><Relationship Type="http://schemas.openxmlformats.org/officeDocument/2006/relationships/hyperlink" Target="https://meteor.aihw.gov.au/content/716034" TargetMode="External" Id="Re0fb8e5da7e940d3" /><Relationship Type="http://schemas.openxmlformats.org/officeDocument/2006/relationships/hyperlink" Target="https://meteor.aihw.gov.au/RegistrationAuthority/12" TargetMode="External" Id="R390cb6192e514192" /><Relationship Type="http://schemas.openxmlformats.org/officeDocument/2006/relationships/hyperlink" Target="https://meteor.aihw.gov.au/content/715368" TargetMode="External" Id="Rde76a1a6340f4385" /><Relationship Type="http://schemas.openxmlformats.org/officeDocument/2006/relationships/hyperlink" Target="https://meteor.aihw.gov.au/RegistrationAuthority/12" TargetMode="External" Id="R7b502479ef6248d4" /><Relationship Type="http://schemas.openxmlformats.org/officeDocument/2006/relationships/hyperlink" Target="https://meteor.aihw.gov.au/content/715376" TargetMode="External" Id="R8a856e5aaa7244dd" /><Relationship Type="http://schemas.openxmlformats.org/officeDocument/2006/relationships/hyperlink" Target="https://meteor.aihw.gov.au/RegistrationAuthority/12" TargetMode="External" Id="R092baa170d95459c" /><Relationship Type="http://schemas.openxmlformats.org/officeDocument/2006/relationships/hyperlink" Target="https://meteor.aihw.gov.au/content/715378" TargetMode="External" Id="Rced3e59a17434b5e" /><Relationship Type="http://schemas.openxmlformats.org/officeDocument/2006/relationships/hyperlink" Target="https://meteor.aihw.gov.au/RegistrationAuthority/12" TargetMode="External" Id="Re605ede461a74028" /><Relationship Type="http://schemas.openxmlformats.org/officeDocument/2006/relationships/hyperlink" Target="https://meteor.aihw.gov.au/content/716182" TargetMode="External" Id="Re6251ac9e5394eb6" /><Relationship Type="http://schemas.openxmlformats.org/officeDocument/2006/relationships/hyperlink" Target="https://meteor.aihw.gov.au/RegistrationAuthority/12" TargetMode="External" Id="R4003f0ba4bd44002" /><Relationship Type="http://schemas.openxmlformats.org/officeDocument/2006/relationships/hyperlink" Target="https://meteor.aihw.gov.au/content/715380" TargetMode="External" Id="Ra90ea4cbeb5a4d8f" /><Relationship Type="http://schemas.openxmlformats.org/officeDocument/2006/relationships/hyperlink" Target="https://meteor.aihw.gov.au/RegistrationAuthority/12" TargetMode="External" Id="R44a2bb893f154c3b" /><Relationship Type="http://schemas.openxmlformats.org/officeDocument/2006/relationships/hyperlink" Target="https://meteor.aihw.gov.au/content/724051" TargetMode="External" Id="R198997d0603f4bc5" /><Relationship Type="http://schemas.openxmlformats.org/officeDocument/2006/relationships/hyperlink" Target="https://meteor.aihw.gov.au/RegistrationAuthority/12" TargetMode="External" Id="R617add5bad924d36" /><Relationship Type="http://schemas.openxmlformats.org/officeDocument/2006/relationships/hyperlink" Target="https://meteor.aihw.gov.au/content/715382" TargetMode="External" Id="R4e9d84dc74534a2a" /><Relationship Type="http://schemas.openxmlformats.org/officeDocument/2006/relationships/hyperlink" Target="https://meteor.aihw.gov.au/RegistrationAuthority/12" TargetMode="External" Id="R4d34dcb0799c4e26" /><Relationship Type="http://schemas.openxmlformats.org/officeDocument/2006/relationships/hyperlink" Target="https://meteor.aihw.gov.au/content/716197" TargetMode="External" Id="R270e1596941141d3" /><Relationship Type="http://schemas.openxmlformats.org/officeDocument/2006/relationships/hyperlink" Target="https://meteor.aihw.gov.au/RegistrationAuthority/12" TargetMode="External" Id="R757d320f98484706" /><Relationship Type="http://schemas.openxmlformats.org/officeDocument/2006/relationships/hyperlink" Target="https://meteor.aihw.gov.au/content/715234" TargetMode="External" Id="R5d839bca2d434d5b" /><Relationship Type="http://schemas.openxmlformats.org/officeDocument/2006/relationships/hyperlink" Target="https://meteor.aihw.gov.au/RegistrationAuthority/12" TargetMode="External" Id="R6698dd524d9842f0" /><Relationship Type="http://schemas.openxmlformats.org/officeDocument/2006/relationships/hyperlink" Target="https://meteor.aihw.gov.au/content/715297" TargetMode="External" Id="R31e7df32f5c34bdf" /><Relationship Type="http://schemas.openxmlformats.org/officeDocument/2006/relationships/hyperlink" Target="https://meteor.aihw.gov.au/RegistrationAuthority/12" TargetMode="External" Id="R9eee18ee02e94e31" /><Relationship Type="http://schemas.openxmlformats.org/officeDocument/2006/relationships/hyperlink" Target="https://meteor.aihw.gov.au/content/715317" TargetMode="External" Id="R5effa07652d44f65" /><Relationship Type="http://schemas.openxmlformats.org/officeDocument/2006/relationships/hyperlink" Target="https://meteor.aihw.gov.au/RegistrationAuthority/12" TargetMode="External" Id="R156ab9237efb49b6" /><Relationship Type="http://schemas.openxmlformats.org/officeDocument/2006/relationships/hyperlink" Target="https://meteor.aihw.gov.au/content/715329" TargetMode="External" Id="R2a4b4e5e21b041ec" /><Relationship Type="http://schemas.openxmlformats.org/officeDocument/2006/relationships/hyperlink" Target="https://meteor.aihw.gov.au/RegistrationAuthority/12" TargetMode="External" Id="R112f46fb9a2a49ea" /><Relationship Type="http://schemas.openxmlformats.org/officeDocument/2006/relationships/hyperlink" Target="https://meteor.aihw.gov.au/content/715299" TargetMode="External" Id="Rb4bb2240b8624d43" /><Relationship Type="http://schemas.openxmlformats.org/officeDocument/2006/relationships/hyperlink" Target="https://meteor.aihw.gov.au/RegistrationAuthority/12" TargetMode="External" Id="Rc043464907254f71" /><Relationship Type="http://schemas.openxmlformats.org/officeDocument/2006/relationships/hyperlink" Target="https://meteor.aihw.gov.au/content/715302" TargetMode="External" Id="R803cf1602f0040dc" /><Relationship Type="http://schemas.openxmlformats.org/officeDocument/2006/relationships/hyperlink" Target="https://meteor.aihw.gov.au/RegistrationAuthority/12" TargetMode="External" Id="Rff87cc91efaf4c88" /><Relationship Type="http://schemas.openxmlformats.org/officeDocument/2006/relationships/hyperlink" Target="https://meteor.aihw.gov.au/content/716029" TargetMode="External" Id="Rc1770e8e82e14036" /><Relationship Type="http://schemas.openxmlformats.org/officeDocument/2006/relationships/hyperlink" Target="https://meteor.aihw.gov.au/RegistrationAuthority/12" TargetMode="External" Id="Rcc3de786d1a949f0" /><Relationship Type="http://schemas.openxmlformats.org/officeDocument/2006/relationships/hyperlink" Target="https://meteor.aihw.gov.au/content/715313" TargetMode="External" Id="Rcedff15a8d8a4da1" /><Relationship Type="http://schemas.openxmlformats.org/officeDocument/2006/relationships/hyperlink" Target="https://meteor.aihw.gov.au/RegistrationAuthority/12" TargetMode="External" Id="R3a81e0d15cef4a9f" /><Relationship Type="http://schemas.openxmlformats.org/officeDocument/2006/relationships/hyperlink" Target="https://meteor.aihw.gov.au/content/716032" TargetMode="External" Id="R51caad52eefb4ff2" /><Relationship Type="http://schemas.openxmlformats.org/officeDocument/2006/relationships/hyperlink" Target="https://meteor.aihw.gov.au/RegistrationAuthority/12" TargetMode="External" Id="R407f55239a07404a" /><Relationship Type="http://schemas.openxmlformats.org/officeDocument/2006/relationships/hyperlink" Target="https://meteor.aihw.gov.au/content/715307" TargetMode="External" Id="R9611ca8af3e74c01" /><Relationship Type="http://schemas.openxmlformats.org/officeDocument/2006/relationships/hyperlink" Target="https://meteor.aihw.gov.au/RegistrationAuthority/12" TargetMode="External" Id="R797eae4e08ce4db5" /><Relationship Type="http://schemas.openxmlformats.org/officeDocument/2006/relationships/hyperlink" Target="https://meteor.aihw.gov.au/content/715309" TargetMode="External" Id="R6097ecb89ccc42be" /><Relationship Type="http://schemas.openxmlformats.org/officeDocument/2006/relationships/hyperlink" Target="https://meteor.aihw.gov.au/RegistrationAuthority/12" TargetMode="External" Id="R7bd3533949ba459a" /><Relationship Type="http://schemas.openxmlformats.org/officeDocument/2006/relationships/hyperlink" Target="https://meteor.aihw.gov.au/content/715311" TargetMode="External" Id="R74d72c0a263e4d75" /><Relationship Type="http://schemas.openxmlformats.org/officeDocument/2006/relationships/hyperlink" Target="https://meteor.aihw.gov.au/RegistrationAuthority/12" TargetMode="External" Id="Rb6f526c447db4639" /><Relationship Type="http://schemas.openxmlformats.org/officeDocument/2006/relationships/hyperlink" Target="https://meteor.aihw.gov.au/content/715334" TargetMode="External" Id="R9adf659717374d27" /><Relationship Type="http://schemas.openxmlformats.org/officeDocument/2006/relationships/hyperlink" Target="https://meteor.aihw.gov.au/RegistrationAuthority/12" TargetMode="External" Id="Rc24b8545bc204ea5" /><Relationship Type="http://schemas.openxmlformats.org/officeDocument/2006/relationships/hyperlink" Target="https://meteor.aihw.gov.au/content/246013" TargetMode="External" Id="R3c57612920d448fa" /><Relationship Type="http://schemas.openxmlformats.org/officeDocument/2006/relationships/hyperlink" Target="https://www.coaghealthcouncil.gov.au/Portals/0/OOS318_Attachment%201.pdf" TargetMode="External" Id="Rab0061e689d84a3d" /></Relationships>
</file>

<file path=word/_rels/header1.xml.rels>&#65279;<?xml version="1.0" encoding="utf-8"?><Relationships xmlns="http://schemas.openxmlformats.org/package/2006/relationships"><Relationship Type="http://schemas.openxmlformats.org/officeDocument/2006/relationships/image" Target="/media/image.png" Id="R00b92104689e4d4e" /></Relationships>
</file>