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2e29993d1439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2.1.1–Immunisation rates for vaccines in the national schedule,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2.1.1–Immunisation rates for vaccines in the national schedule,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AHPF PI 2.1.1–Immunisation rates for vaccines in the national schedule,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2.1.1–Immunisation rates for vaccines in the national schedule,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2786efb66429b">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have been assessed as fully immunised according to information recorded in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such as measles, meningococcal disease and poliomyelitis. Vaccinations are an effective strategy for reducing disease disparities between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2e506c02c4c68">
              <w:r>
                <w:rPr>
                  <w:rStyle w:val="Hyperlink"/>
                </w:rPr>
                <w:t xml:space="preserve">Australian Health Performance Framework, 2019</w:t>
              </w:r>
            </w:hyperlink>
          </w:p>
          <w:p>
            <w:pPr>
              <w:spacing w:before="0" w:after="0"/>
            </w:pPr>
            <w:r>
              <w:rPr>
                <w:rStyle w:val="row-content"/>
                <w:color w:val="244061"/>
              </w:rPr>
              <w:t xml:space="preserve">       </w:t>
            </w:r>
            <w:hyperlink w:history="true" r:id="Raf954fca53844d3b">
              <w:r>
                <w:rPr>
                  <w:rStyle w:val="Hyperlink"/>
                  <w:color w:val="244061"/>
                </w:rPr>
                <w:t xml:space="preserve">Health</w:t>
              </w:r>
            </w:hyperlink>
            <w:r>
              <w:rPr>
                <w:rStyle w:val="row-content"/>
                <w:color w:val="244061"/>
              </w:rPr>
              <w:t xml:space="preserve">, Superseded 13/10/2021</w:t>
            </w:r>
          </w:p>
          <w:p>
            <w:r>
              <w:br/>
            </w:r>
            <w:hyperlink w:history="true" r:id="R07f9ec499ed94f53">
              <w:r>
                <w:rPr>
                  <w:rStyle w:val="Hyperlink"/>
                </w:rPr>
                <w:t xml:space="preserve">Australian Health Performance Framework, 2019</w:t>
              </w:r>
            </w:hyperlink>
          </w:p>
          <w:p>
            <w:pPr>
              <w:spacing w:before="0" w:after="0"/>
            </w:pPr>
            <w:r>
              <w:rPr>
                <w:rStyle w:val="row-content"/>
                <w:color w:val="244061"/>
              </w:rPr>
              <w:t xml:space="preserve">       </w:t>
            </w:r>
            <w:hyperlink w:history="true" r:id="Radedf9869b204247">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1-, 2- and 5-year-old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2-, and 5-year old children who are fully vaccinated according to the National Immunisation Program Schedule.</w:t>
            </w:r>
          </w:p>
          <w:p>
            <w:pPr>
              <w:spacing w:after="160"/>
            </w:pPr>
            <w:r>
              <w:rPr>
                <w:rStyle w:val="row-content-rich-text"/>
                <w:u w:val="single"/>
              </w:rPr>
              <w:t xml:space="preserve">Fully vaccinated 1 year olds</w:t>
            </w:r>
            <w:r>
              <w:rPr>
                <w:rStyle w:val="row-content-rich-text"/>
              </w:rPr>
              <w:t xml:space="preserve"> are children aged 12-15 months who, prior to the age of 12 months were vaccinated against:</w:t>
            </w:r>
          </w:p>
          <w:p>
            <w:pPr>
              <w:pStyle w:val="ListParagraph"/>
              <w:numPr>
                <w:ilvl w:val="0"/>
                <w:numId w:val="2"/>
              </w:numPr>
            </w:pPr>
            <w:r>
              <w:rPr>
                <w:rStyle w:val="row-content-rich-text"/>
              </w:rPr>
              <w:t xml:space="preserve">diphtheria</w:t>
            </w:r>
          </w:p>
          <w:p>
            <w:pPr>
              <w:pStyle w:val="ListParagraph"/>
              <w:numPr>
                <w:ilvl w:val="0"/>
                <w:numId w:val="2"/>
              </w:numPr>
            </w:pPr>
            <w:r>
              <w:rPr>
                <w:rStyle w:val="row-content-rich-text"/>
              </w:rPr>
              <w:t xml:space="preserve">tetanus</w:t>
            </w:r>
          </w:p>
          <w:p>
            <w:pPr>
              <w:pStyle w:val="ListParagraph"/>
              <w:numPr>
                <w:ilvl w:val="0"/>
                <w:numId w:val="2"/>
              </w:numPr>
            </w:pPr>
            <w:r>
              <w:rPr>
                <w:rStyle w:val="row-content-rich-text"/>
              </w:rPr>
              <w:t xml:space="preserve">pertussis (whooping cough)</w:t>
            </w:r>
          </w:p>
          <w:p>
            <w:pPr>
              <w:pStyle w:val="ListParagraph"/>
              <w:numPr>
                <w:ilvl w:val="0"/>
                <w:numId w:val="2"/>
              </w:numPr>
            </w:pPr>
            <w:r>
              <w:rPr>
                <w:rStyle w:val="row-content-rich-text"/>
              </w:rPr>
              <w:t xml:space="preserve">poliomyelitis</w:t>
            </w:r>
          </w:p>
          <w:p>
            <w:pPr>
              <w:pStyle w:val="ListParagraph"/>
              <w:numPr>
                <w:ilvl w:val="0"/>
                <w:numId w:val="2"/>
              </w:numPr>
            </w:pPr>
            <w:r>
              <w:rPr>
                <w:rStyle w:val="row-content-rich-text"/>
              </w:rPr>
              <w:t xml:space="preserve">hepatitis B</w:t>
            </w:r>
          </w:p>
          <w:p>
            <w:pPr>
              <w:pStyle w:val="ListParagraph"/>
              <w:numPr>
                <w:ilvl w:val="0"/>
                <w:numId w:val="2"/>
              </w:numPr>
            </w:pPr>
            <w:r>
              <w:rPr>
                <w:rStyle w:val="row-content-rich-text"/>
                <w:i/>
              </w:rPr>
              <w:t xml:space="preserve">Haemophilus influenzae</w:t>
            </w:r>
            <w:r>
              <w:rPr>
                <w:rStyle w:val="row-content-rich-text"/>
              </w:rPr>
              <w:t xml:space="preserve"> type b</w:t>
            </w:r>
          </w:p>
          <w:p>
            <w:pPr>
              <w:pStyle w:val="ListParagraph"/>
              <w:numPr>
                <w:ilvl w:val="0"/>
                <w:numId w:val="2"/>
              </w:numPr>
            </w:pPr>
            <w:r>
              <w:rPr>
                <w:rStyle w:val="row-content-rich-text"/>
              </w:rPr>
              <w:t xml:space="preserve">(from the quarter ended 31 December 2013) pneumococcal disease.</w:t>
            </w:r>
          </w:p>
          <w:p>
            <w:pPr>
              <w:spacing w:after="160"/>
            </w:pPr>
            <w:r>
              <w:rPr>
                <w:rStyle w:val="row-content-rich-text"/>
                <w:u w:val="single"/>
              </w:rPr>
              <w:t xml:space="preserve">Fully vaccinated 2 year olds</w:t>
            </w:r>
            <w:r>
              <w:rPr>
                <w:rStyle w:val="row-content-rich-text"/>
              </w:rPr>
              <w:t xml:space="preserve"> are children aged 24-27 months who were vaccinated against:</w:t>
            </w:r>
          </w:p>
          <w:p>
            <w:pPr>
              <w:pStyle w:val="ListParagraph"/>
              <w:numPr>
                <w:ilvl w:val="0"/>
                <w:numId w:val="3"/>
              </w:numPr>
            </w:pPr>
            <w:r>
              <w:rPr>
                <w:rStyle w:val="row-content-rich-text"/>
              </w:rPr>
              <w:t xml:space="preserve">diphtheria</w:t>
            </w:r>
          </w:p>
          <w:p>
            <w:pPr>
              <w:pStyle w:val="ListParagraph"/>
              <w:numPr>
                <w:ilvl w:val="0"/>
                <w:numId w:val="3"/>
              </w:numPr>
            </w:pPr>
            <w:r>
              <w:rPr>
                <w:rStyle w:val="row-content-rich-text"/>
              </w:rPr>
              <w:t xml:space="preserve">tetanus</w:t>
            </w:r>
          </w:p>
          <w:p>
            <w:pPr>
              <w:pStyle w:val="ListParagraph"/>
              <w:numPr>
                <w:ilvl w:val="0"/>
                <w:numId w:val="3"/>
              </w:numPr>
            </w:pPr>
            <w:r>
              <w:rPr>
                <w:rStyle w:val="row-content-rich-text"/>
              </w:rPr>
              <w:t xml:space="preserve">pertussis (whooping cough)</w:t>
            </w:r>
          </w:p>
          <w:p>
            <w:pPr>
              <w:pStyle w:val="ListParagraph"/>
              <w:numPr>
                <w:ilvl w:val="0"/>
                <w:numId w:val="3"/>
              </w:numPr>
            </w:pPr>
            <w:r>
              <w:rPr>
                <w:rStyle w:val="row-content-rich-text"/>
              </w:rPr>
              <w:t xml:space="preserve">poliomyelitis</w:t>
            </w:r>
          </w:p>
          <w:p>
            <w:pPr>
              <w:pStyle w:val="ListParagraph"/>
              <w:numPr>
                <w:ilvl w:val="0"/>
                <w:numId w:val="3"/>
              </w:numPr>
            </w:pPr>
            <w:r>
              <w:rPr>
                <w:rStyle w:val="row-content-rich-text"/>
              </w:rPr>
              <w:t xml:space="preserve">hepatitis B</w:t>
            </w:r>
          </w:p>
          <w:p>
            <w:pPr>
              <w:pStyle w:val="ListParagraph"/>
              <w:numPr>
                <w:ilvl w:val="0"/>
                <w:numId w:val="3"/>
              </w:numPr>
            </w:pPr>
            <w:r>
              <w:rPr>
                <w:rStyle w:val="row-content-rich-text"/>
                <w:i/>
              </w:rPr>
              <w:t xml:space="preserve">Haemophilus influenzae </w:t>
            </w:r>
            <w:r>
              <w:rPr>
                <w:rStyle w:val="row-content-rich-text"/>
              </w:rPr>
              <w:t xml:space="preserve">type b</w:t>
            </w:r>
          </w:p>
          <w:p>
            <w:pPr>
              <w:pStyle w:val="ListParagraph"/>
              <w:numPr>
                <w:ilvl w:val="0"/>
                <w:numId w:val="3"/>
              </w:numPr>
            </w:pPr>
            <w:r>
              <w:rPr>
                <w:rStyle w:val="row-content-rich-text"/>
              </w:rPr>
              <w:t xml:space="preserve">measles, mumps and rubella</w:t>
            </w:r>
          </w:p>
          <w:p>
            <w:pPr>
              <w:pStyle w:val="ListParagraph"/>
              <w:numPr>
                <w:ilvl w:val="0"/>
                <w:numId w:val="3"/>
              </w:numPr>
            </w:pPr>
            <w:r>
              <w:rPr>
                <w:rStyle w:val="row-content-rich-text"/>
              </w:rPr>
              <w:t xml:space="preserve">(from the quarter ending 31 December 2014) meningococcal C, measles, mumps, rubella and varicella (chickenpox).</w:t>
            </w:r>
          </w:p>
          <w:p>
            <w:pPr>
              <w:spacing w:after="160"/>
            </w:pPr>
            <w:r>
              <w:rPr>
                <w:rStyle w:val="row-content-rich-text"/>
                <w:u w:val="single"/>
              </w:rPr>
              <w:t xml:space="preserve">Fully vaccinated 5 year olds</w:t>
            </w:r>
            <w:r>
              <w:rPr>
                <w:rStyle w:val="row-content-rich-text"/>
              </w:rPr>
              <w:t xml:space="preserve"> are children aged 60-63 months who were vaccinated against:</w:t>
            </w:r>
          </w:p>
          <w:p>
            <w:pPr>
              <w:pStyle w:val="ListParagraph"/>
              <w:numPr>
                <w:ilvl w:val="0"/>
                <w:numId w:val="4"/>
              </w:numPr>
            </w:pPr>
            <w:r>
              <w:rPr>
                <w:rStyle w:val="row-content-rich-text"/>
              </w:rPr>
              <w:t xml:space="preserve">diphtheria</w:t>
            </w:r>
          </w:p>
          <w:p>
            <w:pPr>
              <w:pStyle w:val="ListParagraph"/>
              <w:numPr>
                <w:ilvl w:val="0"/>
                <w:numId w:val="4"/>
              </w:numPr>
            </w:pPr>
            <w:r>
              <w:rPr>
                <w:rStyle w:val="row-content-rich-text"/>
              </w:rPr>
              <w:t xml:space="preserve">tetanus</w:t>
            </w:r>
          </w:p>
          <w:p>
            <w:pPr>
              <w:pStyle w:val="ListParagraph"/>
              <w:numPr>
                <w:ilvl w:val="0"/>
                <w:numId w:val="4"/>
              </w:numPr>
            </w:pPr>
            <w:r>
              <w:rPr>
                <w:rStyle w:val="row-content-rich-text"/>
              </w:rPr>
              <w:t xml:space="preserve">pertussis (whooping cough)</w:t>
            </w:r>
          </w:p>
          <w:p>
            <w:pPr>
              <w:pStyle w:val="ListParagraph"/>
              <w:numPr>
                <w:ilvl w:val="0"/>
                <w:numId w:val="4"/>
              </w:numPr>
            </w:pPr>
            <w:r>
              <w:rPr>
                <w:rStyle w:val="row-content-rich-text"/>
              </w:rPr>
              <w:t xml:space="preserve">poliomyelitis</w:t>
            </w:r>
          </w:p>
          <w:p>
            <w:pPr>
              <w:pStyle w:val="ListParagraph"/>
              <w:numPr>
                <w:ilvl w:val="0"/>
                <w:numId w:val="4"/>
              </w:numPr>
            </w:pPr>
            <w:r>
              <w:rPr>
                <w:rStyle w:val="row-content-rich-text"/>
              </w:rPr>
              <w:t xml:space="preserve">(until the quarter ending 30 September 2017) measles, mumps and rubella.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1-, 2- and 5- year old children fully vaccinated according to the National Immunisation Program scheme.</w:t>
            </w:r>
          </w:p>
          <w:p>
            <w:r>
              <w:rPr>
                <w:rStyle w:val="row-content"/>
              </w:rPr>
              <w:t xml:space="preserve"> </w:t>
            </w:r>
          </w:p>
          <w:p>
            <w:r>
              <w:rPr>
                <w:rStyle w:val="row-content"/>
                <w:b/>
              </w:rPr>
              <w:t xml:space="preserve">Data Source</w:t>
            </w:r>
          </w:p>
          <w:p>
            <w:hyperlink w:history="true" r:id="Rbcbbc6fd82fc4c94">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1-, 2- and 5- year old children registered on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children who turned 1, 2 or 5 years between 1 April and 31 March registered with Medicare on the National Immunisation Register</w:t>
            </w:r>
          </w:p>
          <w:p>
            <w:r>
              <w:rPr>
                <w:rStyle w:val="row-content"/>
              </w:rPr>
              <w:t xml:space="preserve"> </w:t>
            </w:r>
          </w:p>
          <w:p>
            <w:r>
              <w:rPr>
                <w:rStyle w:val="row-content"/>
                <w:b/>
              </w:rPr>
              <w:t xml:space="preserve">Data Source</w:t>
            </w:r>
          </w:p>
          <w:p>
            <w:hyperlink w:history="true" r:id="R3656bba5d87846c6">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to 2018–19—Nationally, by:</w:t>
            </w:r>
          </w:p>
          <w:p>
            <w:pPr>
              <w:pStyle w:val="ListParagraph"/>
              <w:numPr>
                <w:ilvl w:val="0"/>
                <w:numId w:val="5"/>
              </w:numPr>
            </w:pPr>
            <w:r>
              <w:rPr>
                <w:rStyle w:val="row-content-rich-text"/>
              </w:rPr>
              <w:t xml:space="preserve">Indigenous status.</w:t>
            </w:r>
          </w:p>
          <w:p>
            <w:pPr>
              <w:spacing w:after="160"/>
            </w:pPr>
            <w:r>
              <w:rPr>
                <w:rStyle w:val="row-content-rich-text"/>
              </w:rPr>
              <w:t xml:space="preserve">2012–13 to 2018–19—State and territory, by:</w:t>
            </w:r>
          </w:p>
          <w:p>
            <w:pPr>
              <w:pStyle w:val="ListParagraph"/>
              <w:numPr>
                <w:ilvl w:val="0"/>
                <w:numId w:val="6"/>
              </w:numPr>
            </w:pPr>
            <w:r>
              <w:rPr>
                <w:rStyle w:val="row-content-rich-text"/>
              </w:rPr>
              <w:t xml:space="preserve">Indigenous status.</w:t>
            </w:r>
          </w:p>
          <w:p>
            <w:pPr>
              <w:spacing w:after="160"/>
            </w:pPr>
            <w:r>
              <w:rPr>
                <w:rStyle w:val="row-content-rich-text"/>
              </w:rPr>
              <w:t xml:space="preserve">2012–13 to 2018–19—Primary Health Network (PHN), by:</w:t>
            </w:r>
          </w:p>
          <w:p>
            <w:pPr>
              <w:pStyle w:val="ListParagraph"/>
              <w:numPr>
                <w:ilvl w:val="0"/>
                <w:numId w:val="7"/>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Indigenous children who turned 1, 2 or 5 years between 1 April and 31 March registered with Medicare on the National Immunisation Register</w:t>
            </w:r>
          </w:p>
          <w:p>
            <w:r>
              <w:rPr>
                <w:rStyle w:val="row-content"/>
              </w:rPr>
              <w:t xml:space="preserve"> </w:t>
            </w:r>
          </w:p>
          <w:p>
            <w:r>
              <w:rPr>
                <w:rStyle w:val="row-content"/>
                <w:b/>
              </w:rPr>
              <w:t xml:space="preserve">Data Source</w:t>
            </w:r>
          </w:p>
          <w:p>
            <w:hyperlink w:history="true" r:id="R6c27e8c67a86478b">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p>
            <w:r>
              <w:rPr>
                <w:rStyle w:val="row-content"/>
                <w:b/>
                <w:color w:val="000000"/>
              </w:rPr>
              <w:t xml:space="preserve">Data Element / Data Set</w:t>
            </w:r>
          </w:p>
          <w:p>
            <w:hyperlink w:history="true" r:id="Re6bb1195486a4802">
              <w:r>
                <w:rPr>
                  <w:rStyle w:val="Hyperlink"/>
                </w:rPr>
                <w:t xml:space="preserve">Address details cluster</w:t>
              </w:r>
            </w:hyperlink>
          </w:p>
          <w:p>
            <w:r>
              <w:rPr>
                <w:rStyle w:val="row-content"/>
                <w:b/>
              </w:rPr>
              <w:t xml:space="preserve">Data Source</w:t>
            </w:r>
          </w:p>
          <w:p>
            <w:hyperlink w:history="true" r:id="R3a67fb6356b242c8">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r>
              <w:br/>
            </w:r>
            <w:r>
              <w:rPr>
                <w:rStyle w:val="row-content"/>
              </w:rPr>
              <w:t xml:space="preserve">Used for disaggregation by state/territory and PHN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2018–19 (reporting period 1 April to 31 March).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f3aac211b347d1">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aab7b4f2104a4b">
              <w:r>
                <w:rPr>
                  <w:rStyle w:val="Hyperlink"/>
                </w:rPr>
                <w:t xml:space="preserve">Australian Immunisation Register (AIR)</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full description of the methodology used can be found in </w:t>
            </w:r>
            <w:r>
              <w:rPr>
                <w:rStyle w:val="row-content-rich-text"/>
                <w:i/>
              </w:rPr>
              <w:t xml:space="preserve">Methodology for measuring Australia's childhood immunisation coverage</w:t>
            </w:r>
            <w:r>
              <w:rPr>
                <w:rStyle w:val="row-content-rich-text"/>
              </w:rPr>
              <w:t xml:space="preserve"> (O'Brien et al. 1998).</w:t>
            </w:r>
          </w:p>
          <w:p>
            <w:pPr>
              <w:spacing w:after="160"/>
            </w:pPr>
            <w:r>
              <w:rPr>
                <w:rStyle w:val="row-content-rich-text"/>
              </w:rPr>
              <w:t xml:space="preserve">For each age it is assumed that earlier vaccinations in the series have been given.</w:t>
            </w:r>
          </w:p>
          <w:p>
            <w:pPr/>
            <w:r>
              <w:rPr>
                <w:rStyle w:val="row-content-rich-text"/>
              </w:rPr>
              <w:t xml:space="preserve">A change in the definition of fully immunised for 2 year olds occurred from the quarter ending 31 December 2014 when meningococcal C vaccination (given at 12 months), dose 2 measles, mumps, rubella (MMR), and dose 1 varicella vaccination were included in the definition of 'fully immunised'. A second change for this age group occurred from the quarter ending 31 March 2017 when dose 4 diphtheria, tetanus, pertussis (DTP) was included in the definition of ‘fully immunised’. The inclusion of these additional vaccines caused decreases in the reported immunisation coverage rates at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O'Brien E D, Sam, G A and Mead C 1998. Methodology for measuring Australia's childhood immunisation coverage. Communicable Diseases Intelligence 22(3):36–37. Viewed 30 October 2019, </w:t>
            </w:r>
            <w:hyperlink w:history="true" r:id="Rb5539a101c7240bc">
              <w:r>
                <w:rPr>
                  <w:rStyle w:val="Hyperlink"/>
                </w:rPr>
                <w:t xml:space="preserve">https://www1.health.gov.au/internet/main/publishing.nsf/Content/cdi2203-1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fd5f4033aa48ca">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205ccb172a324580">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7e20224f6d3b4722">
              <w:r>
                <w:rPr>
                  <w:rStyle w:val="Hyperlink"/>
                </w:rPr>
                <w:t xml:space="preserve">Immunisation rates for children, 2014–15</w:t>
              </w:r>
            </w:hyperlink>
          </w:p>
          <w:p>
            <w:pPr>
              <w:spacing w:before="0" w:after="0"/>
            </w:pPr>
            <w:r>
              <w:rPr>
                <w:rStyle w:val="row-content"/>
                <w:color w:val="244061"/>
              </w:rPr>
              <w:t xml:space="preserve">       </w:t>
            </w:r>
            <w:hyperlink w:history="true" r:id="R18273a0585ef4ad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112a361d27a4b26">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5600c4e4e75b4b1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384c9e6e802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7ad0f1549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4c9e6e80241f6" /><Relationship Type="http://schemas.openxmlformats.org/officeDocument/2006/relationships/header" Target="/word/header1.xml" Id="R95acccda27b64bf1" /><Relationship Type="http://schemas.openxmlformats.org/officeDocument/2006/relationships/settings" Target="/word/settings.xml" Id="Rc71fc3336b7449c2" /><Relationship Type="http://schemas.openxmlformats.org/officeDocument/2006/relationships/styles" Target="/word/styles.xml" Id="R313924e5bf184d82" /><Relationship Type="http://schemas.openxmlformats.org/officeDocument/2006/relationships/hyperlink" Target="https://meteor.aihw.gov.au/RegistrationAuthority/12" TargetMode="External" Id="Rfe92786efb66429b" /><Relationship Type="http://schemas.openxmlformats.org/officeDocument/2006/relationships/hyperlink" Target="https://meteor.aihw.gov.au/content/715015" TargetMode="External" Id="Rcea2e506c02c4c68" /><Relationship Type="http://schemas.openxmlformats.org/officeDocument/2006/relationships/hyperlink" Target="https://meteor.aihw.gov.au/RegistrationAuthority/12" TargetMode="External" Id="Raf954fca53844d3b" /><Relationship Type="http://schemas.openxmlformats.org/officeDocument/2006/relationships/hyperlink" Target="https://meteor.aihw.gov.au/content/715015" TargetMode="External" Id="R07f9ec499ed94f53" /><Relationship Type="http://schemas.openxmlformats.org/officeDocument/2006/relationships/hyperlink" Target="https://meteor.aihw.gov.au/RegistrationAuthority/12" TargetMode="External" Id="Radedf9869b204247" /><Relationship Type="http://schemas.openxmlformats.org/officeDocument/2006/relationships/numbering" Target="/word/numbering.xml" Id="Raca8afe1dd4f4fbf" /><Relationship Type="http://schemas.openxmlformats.org/officeDocument/2006/relationships/hyperlink" Target="https://meteor.aihw.gov.au/content/724949" TargetMode="External" Id="Rbcbbc6fd82fc4c94" /><Relationship Type="http://schemas.openxmlformats.org/officeDocument/2006/relationships/hyperlink" Target="https://meteor.aihw.gov.au/content/724949" TargetMode="External" Id="R3656bba5d87846c6" /><Relationship Type="http://schemas.openxmlformats.org/officeDocument/2006/relationships/hyperlink" Target="https://meteor.aihw.gov.au/content/724949" TargetMode="External" Id="R6c27e8c67a86478b" /><Relationship Type="http://schemas.openxmlformats.org/officeDocument/2006/relationships/hyperlink" Target="https://meteor.aihw.gov.au/content/619372" TargetMode="External" Id="Re6bb1195486a4802" /><Relationship Type="http://schemas.openxmlformats.org/officeDocument/2006/relationships/hyperlink" Target="https://meteor.aihw.gov.au/content/724949" TargetMode="External" Id="R3a67fb6356b242c8" /><Relationship Type="http://schemas.openxmlformats.org/officeDocument/2006/relationships/hyperlink" Target="https://meteor.aihw.gov.au/content/721641" TargetMode="External" Id="Rf1f3aac211b347d1" /><Relationship Type="http://schemas.openxmlformats.org/officeDocument/2006/relationships/hyperlink" Target="https://meteor.aihw.gov.au/content/724949" TargetMode="External" Id="Rcfaab7b4f2104a4b" /><Relationship Type="http://schemas.openxmlformats.org/officeDocument/2006/relationships/hyperlink" Target="https://www1.health.gov.au/internet/main/publishing.nsf/Content/cdi2203-1" TargetMode="External" Id="Rb5539a101c7240bc" /><Relationship Type="http://schemas.openxmlformats.org/officeDocument/2006/relationships/hyperlink" Target="https://meteor.aihw.gov.au/content/728323" TargetMode="External" Id="R17fd5f4033aa48ca" /><Relationship Type="http://schemas.openxmlformats.org/officeDocument/2006/relationships/hyperlink" Target="https://meteor.aihw.gov.au/RegistrationAuthority/12" TargetMode="External" Id="R205ccb172a324580" /><Relationship Type="http://schemas.openxmlformats.org/officeDocument/2006/relationships/hyperlink" Target="https://meteor.aihw.gov.au/content/630476" TargetMode="External" Id="R7e20224f6d3b4722" /><Relationship Type="http://schemas.openxmlformats.org/officeDocument/2006/relationships/hyperlink" Target="https://meteor.aihw.gov.au/RegistrationAuthority/8" TargetMode="External" Id="R18273a0585ef4ad8" /><Relationship Type="http://schemas.openxmlformats.org/officeDocument/2006/relationships/hyperlink" Target="https://meteor.aihw.gov.au/content/436839" TargetMode="External" Id="Rc112a361d27a4b26" /><Relationship Type="http://schemas.openxmlformats.org/officeDocument/2006/relationships/hyperlink" Target="https://meteor.aihw.gov.au/RegistrationAuthority/12" TargetMode="External" Id="R5600c4e4e75b4b17" /></Relationships>
</file>

<file path=word/_rels/header1.xml.rels>&#65279;<?xml version="1.0" encoding="utf-8"?><Relationships xmlns="http://schemas.openxmlformats.org/package/2006/relationships"><Relationship Type="http://schemas.openxmlformats.org/officeDocument/2006/relationships/image" Target="/media/image.png" Id="R1a67ad0f154947b3" /></Relationships>
</file>