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43b0d730c41bb"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823412dbc47a6">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c87d47317a4f4c">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80dfcaece440b4">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137022d394fe0">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6395156ff89b47c6">
              <w:r>
                <w:rPr>
                  <w:rStyle w:val="Hyperlink"/>
                  <w:color w:val="244061"/>
                </w:rPr>
                <w:t xml:space="preserve">Tasmanian Health</w:t>
              </w:r>
            </w:hyperlink>
            <w:r>
              <w:rPr>
                <w:rStyle w:val="row-content"/>
                <w:color w:val="244061"/>
              </w:rPr>
              <w:t xml:space="preserve">, Superseded 04/04/2019</w:t>
            </w:r>
          </w:p>
          <w:p>
            <w:r>
              <w:br/>
            </w:r>
            <w:r>
              <w:rPr>
                <w:rStyle w:val="row-content"/>
              </w:rPr>
              <w:t xml:space="preserve">Has been superseded by </w:t>
            </w:r>
            <w:hyperlink w:history="true" r:id="Rf2bd947f3b4c4033">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00e2fa624894834">
              <w:r>
                <w:rPr>
                  <w:rStyle w:val="Hyperlink"/>
                  <w:color w:val="244061"/>
                </w:rPr>
                <w:t xml:space="preserve">Tasmanian Health</w:t>
              </w:r>
            </w:hyperlink>
            <w:r>
              <w:rPr>
                <w:rStyle w:val="row-content"/>
                <w:color w:val="244061"/>
              </w:rPr>
              <w:t xml:space="preserve">, Standard 18/10/2023</w:t>
            </w:r>
          </w:p>
          <w:p>
            <w:r>
              <w:br/>
            </w:r>
            <w:r>
              <w:rPr>
                <w:rStyle w:val="row-content"/>
              </w:rPr>
              <w:t xml:space="preserve">Is formed using </w:t>
            </w:r>
            <w:hyperlink w:history="true" r:id="Rdbf95323e5094191">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b8e8e9e18eae4621">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dafd35ef57c74e41">
              <w:r>
                <w:rPr>
                  <w:rStyle w:val="Hyperlink"/>
                </w:rPr>
                <w:t xml:space="preserve">Establishment—region identifier, code (Tasmanian) N</w:t>
              </w:r>
            </w:hyperlink>
          </w:p>
          <w:p>
            <w:pPr>
              <w:spacing w:before="0" w:after="0"/>
            </w:pPr>
            <w:r>
              <w:rPr>
                <w:rStyle w:val="row-content"/>
                <w:color w:val="244061"/>
              </w:rPr>
              <w:t xml:space="preserve">       </w:t>
            </w:r>
            <w:hyperlink w:history="true" r:id="R9b6fcec1c2ec40e0">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8209122cd99b459c">
              <w:r>
                <w:rPr>
                  <w:rStyle w:val="Hyperlink"/>
                </w:rPr>
                <w:t xml:space="preserve">Establishment—sector identifier, code (Tasmanian) N</w:t>
              </w:r>
            </w:hyperlink>
          </w:p>
          <w:p>
            <w:pPr>
              <w:spacing w:before="0" w:after="0"/>
            </w:pPr>
            <w:r>
              <w:rPr>
                <w:rStyle w:val="row-content"/>
                <w:color w:val="244061"/>
              </w:rPr>
              <w:t xml:space="preserve">       </w:t>
            </w:r>
            <w:hyperlink w:history="true" r:id="R50d02f2c281e4268">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908a0d1ec54950">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0f7fc95e546441a9">
              <w:r>
                <w:rPr>
                  <w:rStyle w:val="Hyperlink"/>
                  <w:color w:val="244061"/>
                </w:rPr>
                <w:t xml:space="preserve">Tasmanian Health</w:t>
              </w:r>
            </w:hyperlink>
            <w:r>
              <w:rPr>
                <w:rStyle w:val="row-content"/>
                <w:color w:val="244061"/>
              </w:rPr>
              <w:t xml:space="preserve">, Superseded 10/11/2023</w:t>
            </w:r>
          </w:p>
          <w:p>
            <w:r>
              <w:br/>
            </w:r>
            <w:hyperlink w:history="true" r:id="R70dc01ceed394d6f">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1fd48d5222384df6">
              <w:r>
                <w:rPr>
                  <w:rStyle w:val="Hyperlink"/>
                  <w:color w:val="244061"/>
                </w:rPr>
                <w:t xml:space="preserve">Tasmanian Health</w:t>
              </w:r>
            </w:hyperlink>
            <w:r>
              <w:rPr>
                <w:rStyle w:val="row-content"/>
                <w:color w:val="244061"/>
              </w:rPr>
              <w:t xml:space="preserve">, Superseded 13/11/2023</w:t>
            </w:r>
          </w:p>
          <w:p>
            <w:r>
              <w:br/>
            </w:r>
            <w:hyperlink w:history="true" r:id="Rb41592f0de234bb9">
              <w:r>
                <w:rPr>
                  <w:rStyle w:val="Hyperlink"/>
                </w:rPr>
                <w:t xml:space="preserve">Tasmanian Demographics Data Set - 2019</w:t>
              </w:r>
            </w:hyperlink>
          </w:p>
          <w:p>
            <w:pPr>
              <w:spacing w:before="0" w:after="0"/>
            </w:pPr>
            <w:r>
              <w:rPr>
                <w:rStyle w:val="row-content"/>
                <w:color w:val="244061"/>
              </w:rPr>
              <w:t xml:space="preserve">       </w:t>
            </w:r>
            <w:hyperlink w:history="true" r:id="R271b7661db3740f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72941f31e0446b5">
              <w:r>
                <w:rPr>
                  <w:rStyle w:val="Hyperlink"/>
                </w:rPr>
                <w:t xml:space="preserve">Tasmanian Demographics Data Set - 2020</w:t>
              </w:r>
            </w:hyperlink>
          </w:p>
          <w:p>
            <w:pPr>
              <w:spacing w:before="0" w:after="0"/>
            </w:pPr>
            <w:r>
              <w:rPr>
                <w:rStyle w:val="row-content"/>
                <w:color w:val="244061"/>
              </w:rPr>
              <w:t xml:space="preserve">       </w:t>
            </w:r>
            <w:hyperlink w:history="true" r:id="R71e41ead0156488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6666aa6e9f04efb">
              <w:r>
                <w:rPr>
                  <w:rStyle w:val="Hyperlink"/>
                </w:rPr>
                <w:t xml:space="preserve">Tasmanian Demographics Data Set - 2021</w:t>
              </w:r>
            </w:hyperlink>
          </w:p>
          <w:p>
            <w:pPr>
              <w:spacing w:before="0" w:after="0"/>
            </w:pPr>
            <w:r>
              <w:rPr>
                <w:rStyle w:val="row-content"/>
                <w:color w:val="244061"/>
              </w:rPr>
              <w:t xml:space="preserve">       </w:t>
            </w:r>
            <w:hyperlink w:history="true" r:id="Rf490732c59c6482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2a9c30559be4f75">
              <w:r>
                <w:rPr>
                  <w:rStyle w:val="Hyperlink"/>
                </w:rPr>
                <w:t xml:space="preserve">Tasmanian Demographics Data Set - 2022</w:t>
              </w:r>
            </w:hyperlink>
          </w:p>
          <w:p>
            <w:pPr>
              <w:spacing w:before="0" w:after="0"/>
            </w:pPr>
            <w:r>
              <w:rPr>
                <w:rStyle w:val="row-content"/>
                <w:color w:val="244061"/>
              </w:rPr>
              <w:t xml:space="preserve">       </w:t>
            </w:r>
            <w:hyperlink w:history="true" r:id="Rcb1529cb301b4d6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94e5c9b40f3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714747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0106141f5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e5c9b40f3406e" /><Relationship Type="http://schemas.openxmlformats.org/officeDocument/2006/relationships/header" Target="/word/header1.xml" Id="R98130961d9ee4eba" /><Relationship Type="http://schemas.openxmlformats.org/officeDocument/2006/relationships/settings" Target="/word/settings.xml" Id="R1795379a1c3f4a8b" /><Relationship Type="http://schemas.openxmlformats.org/officeDocument/2006/relationships/styles" Target="/word/styles.xml" Id="R33c5ff34318542dc" /><Relationship Type="http://schemas.openxmlformats.org/officeDocument/2006/relationships/hyperlink" Target="https://meteor.aihw.gov.au/RegistrationAuthority/15" TargetMode="External" Id="R5ce823412dbc47a6" /><Relationship Type="http://schemas.openxmlformats.org/officeDocument/2006/relationships/hyperlink" Target="https://meteor.aihw.gov.au/content/269415" TargetMode="External" Id="R39c87d47317a4f4c" /><Relationship Type="http://schemas.openxmlformats.org/officeDocument/2006/relationships/hyperlink" Target="https://meteor.aihw.gov.au/content/714740" TargetMode="External" Id="Rd680dfcaece440b4" /><Relationship Type="http://schemas.openxmlformats.org/officeDocument/2006/relationships/hyperlink" Target="https://meteor.aihw.gov.au/content/698861" TargetMode="External" Id="R3c3137022d394fe0" /><Relationship Type="http://schemas.openxmlformats.org/officeDocument/2006/relationships/hyperlink" Target="https://meteor.aihw.gov.au/RegistrationAuthority/15" TargetMode="External" Id="R6395156ff89b47c6" /><Relationship Type="http://schemas.openxmlformats.org/officeDocument/2006/relationships/hyperlink" Target="https://meteor.aihw.gov.au/content/784030" TargetMode="External" Id="Rf2bd947f3b4c4033" /><Relationship Type="http://schemas.openxmlformats.org/officeDocument/2006/relationships/hyperlink" Target="https://meteor.aihw.gov.au/RegistrationAuthority/15" TargetMode="External" Id="R700e2fa624894834" /><Relationship Type="http://schemas.openxmlformats.org/officeDocument/2006/relationships/hyperlink" Target="https://meteor.aihw.gov.au/content/698818" TargetMode="External" Id="Rdbf95323e5094191" /><Relationship Type="http://schemas.openxmlformats.org/officeDocument/2006/relationships/hyperlink" Target="https://meteor.aihw.gov.au/RegistrationAuthority/15" TargetMode="External" Id="Rb8e8e9e18eae4621" /><Relationship Type="http://schemas.openxmlformats.org/officeDocument/2006/relationships/hyperlink" Target="https://meteor.aihw.gov.au/content/416625" TargetMode="External" Id="Rdafd35ef57c74e41" /><Relationship Type="http://schemas.openxmlformats.org/officeDocument/2006/relationships/hyperlink" Target="https://meteor.aihw.gov.au/RegistrationAuthority/15" TargetMode="External" Id="R9b6fcec1c2ec40e0" /><Relationship Type="http://schemas.openxmlformats.org/officeDocument/2006/relationships/hyperlink" Target="https://meteor.aihw.gov.au/content/438432" TargetMode="External" Id="R8209122cd99b459c" /><Relationship Type="http://schemas.openxmlformats.org/officeDocument/2006/relationships/hyperlink" Target="https://meteor.aihw.gov.au/RegistrationAuthority/15" TargetMode="External" Id="R50d02f2c281e4268" /><Relationship Type="http://schemas.openxmlformats.org/officeDocument/2006/relationships/hyperlink" Target="https://meteor.aihw.gov.au/content/743790" TargetMode="External" Id="R56908a0d1ec54950" /><Relationship Type="http://schemas.openxmlformats.org/officeDocument/2006/relationships/hyperlink" Target="https://meteor.aihw.gov.au/RegistrationAuthority/15" TargetMode="External" Id="R0f7fc95e546441a9" /><Relationship Type="http://schemas.openxmlformats.org/officeDocument/2006/relationships/hyperlink" Target="https://meteor.aihw.gov.au/content/744138" TargetMode="External" Id="R70dc01ceed394d6f" /><Relationship Type="http://schemas.openxmlformats.org/officeDocument/2006/relationships/hyperlink" Target="https://meteor.aihw.gov.au/RegistrationAuthority/15" TargetMode="External" Id="R1fd48d5222384df6" /><Relationship Type="http://schemas.openxmlformats.org/officeDocument/2006/relationships/hyperlink" Target="https://meteor.aihw.gov.au/content/714887" TargetMode="External" Id="Rb41592f0de234bb9" /><Relationship Type="http://schemas.openxmlformats.org/officeDocument/2006/relationships/hyperlink" Target="https://meteor.aihw.gov.au/RegistrationAuthority/15" TargetMode="External" Id="R271b7661db3740f8" /><Relationship Type="http://schemas.openxmlformats.org/officeDocument/2006/relationships/hyperlink" Target="https://meteor.aihw.gov.au/content/727080" TargetMode="External" Id="R072941f31e0446b5" /><Relationship Type="http://schemas.openxmlformats.org/officeDocument/2006/relationships/hyperlink" Target="https://meteor.aihw.gov.au/RegistrationAuthority/15" TargetMode="External" Id="R71e41ead01564883" /><Relationship Type="http://schemas.openxmlformats.org/officeDocument/2006/relationships/hyperlink" Target="https://meteor.aihw.gov.au/content/740976" TargetMode="External" Id="R06666aa6e9f04efb" /><Relationship Type="http://schemas.openxmlformats.org/officeDocument/2006/relationships/hyperlink" Target="https://meteor.aihw.gov.au/RegistrationAuthority/15" TargetMode="External" Id="Rf490732c59c6482a" /><Relationship Type="http://schemas.openxmlformats.org/officeDocument/2006/relationships/hyperlink" Target="https://meteor.aihw.gov.au/content/761040" TargetMode="External" Id="R62a9c30559be4f75" /><Relationship Type="http://schemas.openxmlformats.org/officeDocument/2006/relationships/hyperlink" Target="https://meteor.aihw.gov.au/RegistrationAuthority/15" TargetMode="External" Id="Rcb1529cb301b4d69" /></Relationships>
</file>

<file path=word/_rels/header1.xml.rels>&#65279;<?xml version="1.0" encoding="utf-8"?><Relationships xmlns="http://schemas.openxmlformats.org/package/2006/relationships"><Relationship Type="http://schemas.openxmlformats.org/officeDocument/2006/relationships/image" Target="/media/image.png" Id="Rb980106141f54bdb" /></Relationships>
</file>