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77ccd8a0654422"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ed68867e84b9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e1896fa769a463f">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0b79f8f49584f1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6b65b1883f14353">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c034a1f13c344434">
              <w:r>
                <w:rPr>
                  <w:rStyle w:val="Hyperlink"/>
                </w:rPr>
                <w:t xml:space="preserve">Person—person identifier, XXXXXX[X(14)]</w:t>
              </w:r>
            </w:hyperlink>
          </w:p>
          <w:p>
            <w:hyperlink w:history="true" r:id="Rc4fb95b5897d4aa7">
              <w:r>
                <w:rPr>
                  <w:rStyle w:val="Hyperlink"/>
                </w:rPr>
                <w:t xml:space="preserve">Establishment—organisation identifier (Australian), NNX[X]NNNNN</w:t>
              </w:r>
            </w:hyperlink>
          </w:p>
          <w:p>
            <w:hyperlink w:history="true" r:id="R83469fd2c80c4399">
              <w:r>
                <w:rPr>
                  <w:rStyle w:val="Hyperlink"/>
                </w:rPr>
                <w:t xml:space="preserve">Establishment—Local Hospital Network identifier, code NNN</w:t>
              </w:r>
            </w:hyperlink>
          </w:p>
          <w:p>
            <w:hyperlink w:history="true" r:id="R141b9ea282664e55">
              <w:r>
                <w:rPr>
                  <w:rStyle w:val="Hyperlink"/>
                </w:rPr>
                <w:t xml:space="preserve">Record—identifier, X[X(79)]</w:t>
              </w:r>
            </w:hyperlink>
          </w:p>
          <w:p>
            <w:hyperlink w:history="true" r:id="R1984ae721a1b41b9">
              <w:r>
                <w:rPr>
                  <w:rStyle w:val="Hyperlink"/>
                </w:rPr>
                <w:t xml:space="preserve">Non-admitted patient service event—non-admitted service type, code (Tier 2 v5.0) NN.NN</w:t>
              </w:r>
            </w:hyperlink>
          </w:p>
          <w:p>
            <w:hyperlink w:history="true" r:id="R9a18c8aa197d4ed3">
              <w:r>
                <w:rPr>
                  <w:rStyle w:val="Hyperlink"/>
                </w:rPr>
                <w:t xml:space="preserve">Non-admitted patient service event—service date, DDMMYYYY</w:t>
              </w:r>
            </w:hyperlink>
          </w:p>
          <w:p>
            <w:hyperlink w:history="true" r:id="Raa1b6b53d37b489b">
              <w:r>
                <w:rPr>
                  <w:rStyle w:val="Hyperlink"/>
                </w:rPr>
                <w:t xml:space="preserve">Non-admitted patient service event—group session indicator, yes/no/not stated/inadequately described code N</w:t>
              </w:r>
            </w:hyperlink>
          </w:p>
          <w:p>
            <w:hyperlink w:history="true" r:id="R2f6c0948942a44b4">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e53ab69abc492c">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fc17e9e03ae4519">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8f4a26911bd6481e">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71a756e1597e48b7">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cc52cdcfa4c6a">
              <w:r>
                <w:rPr>
                  <w:rStyle w:val="Hyperlink"/>
                </w:rPr>
                <w:t xml:space="preserve">Non-admitted patient care aggregate NBEDS 2019-20</w:t>
              </w:r>
            </w:hyperlink>
          </w:p>
          <w:p>
            <w:pPr>
              <w:pStyle w:val="registration-status"/>
              <w:spacing w:before="0" w:after="0"/>
            </w:pPr>
            <w:hyperlink w:history="true" r:id="R0708b897a3c346d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984fa626b8646c4">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e32b361aba064b1a">
              <w:r>
                <w:rPr>
                  <w:rStyle w:val="Hyperlink"/>
                </w:rPr>
                <w:t xml:space="preserve">Non-admitted patient care aggregate NBEDS 2021–22</w:t>
              </w:r>
            </w:hyperlink>
          </w:p>
          <w:p>
            <w:pPr>
              <w:pStyle w:val="registration-status"/>
              <w:spacing w:before="0" w:after="0"/>
            </w:pPr>
            <w:hyperlink w:history="true" r:id="R93d24d00ca9e4e97">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16e8d6c9e47d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7ef2e9147487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2adcc5c3540cd">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8f406337a45f4">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5b524cdf74a0d">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faca455eb4e51">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07bb0dda84274">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a0832d0fc8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e07df3374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0832d0fc8496c" /><Relationship Type="http://schemas.openxmlformats.org/officeDocument/2006/relationships/header" Target="/word/header1.xml" Id="Rbf7a5aeff4434924" /><Relationship Type="http://schemas.openxmlformats.org/officeDocument/2006/relationships/settings" Target="/word/settings.xml" Id="R1e0d3fc63f8849ef" /><Relationship Type="http://schemas.openxmlformats.org/officeDocument/2006/relationships/styles" Target="/word/styles.xml" Id="Ra3a7b72cfcd54795" /><Relationship Type="http://schemas.openxmlformats.org/officeDocument/2006/relationships/numbering" Target="/word/numbering.xml" Id="R9e4a51320a3942a9" /><Relationship Type="http://schemas.openxmlformats.org/officeDocument/2006/relationships/hyperlink" Target="https://meteor.aihw.gov.au/RegistrationAuthority/12" TargetMode="External" Id="R89ded68867e84b96" /><Relationship Type="http://schemas.openxmlformats.org/officeDocument/2006/relationships/hyperlink" Target="https://meteor.aihw.gov.au/content/711144" TargetMode="External" Id="R3e1896fa769a463f" /><Relationship Type="http://schemas.openxmlformats.org/officeDocument/2006/relationships/hyperlink" Target="https://meteor.aihw.gov.au/content/652089" TargetMode="External" Id="R70b79f8f49584f18" /><Relationship Type="http://schemas.openxmlformats.org/officeDocument/2006/relationships/hyperlink" Target="https://meteor.aihw.gov.au/content/614408" TargetMode="External" Id="R16b65b1883f14353" /><Relationship Type="http://schemas.openxmlformats.org/officeDocument/2006/relationships/hyperlink" Target="https://meteor.aihw.gov.au/content/290046" TargetMode="External" Id="Rc034a1f13c344434" /><Relationship Type="http://schemas.openxmlformats.org/officeDocument/2006/relationships/hyperlink" Target="https://meteor.aihw.gov.au/content/269973" TargetMode="External" Id="Rc4fb95b5897d4aa7" /><Relationship Type="http://schemas.openxmlformats.org/officeDocument/2006/relationships/hyperlink" Target="https://meteor.aihw.gov.au/content/719447" TargetMode="External" Id="R83469fd2c80c4399" /><Relationship Type="http://schemas.openxmlformats.org/officeDocument/2006/relationships/hyperlink" Target="https://meteor.aihw.gov.au/content/679557" TargetMode="External" Id="R141b9ea282664e55" /><Relationship Type="http://schemas.openxmlformats.org/officeDocument/2006/relationships/hyperlink" Target="https://meteor.aihw.gov.au/content/652528" TargetMode="External" Id="R1984ae721a1b41b9" /><Relationship Type="http://schemas.openxmlformats.org/officeDocument/2006/relationships/hyperlink" Target="https://meteor.aihw.gov.au/content/680434" TargetMode="External" Id="R9a18c8aa197d4ed3" /><Relationship Type="http://schemas.openxmlformats.org/officeDocument/2006/relationships/hyperlink" Target="https://meteor.aihw.gov.au/content/679499" TargetMode="External" Id="Raa1b6b53d37b489b" /><Relationship Type="http://schemas.openxmlformats.org/officeDocument/2006/relationships/hyperlink" Target="https://meteor.aihw.gov.au/content/679815" TargetMode="External" Id="R2f6c0948942a44b4" /><Relationship Type="http://schemas.openxmlformats.org/officeDocument/2006/relationships/hyperlink" Target="https://meteor.aihw.gov.au/content/711144" TargetMode="External" Id="Rd4e53ab69abc492c" /><Relationship Type="http://schemas.openxmlformats.org/officeDocument/2006/relationships/hyperlink" Target="https://meteor.aihw.gov.au/content/614408" TargetMode="External" Id="R9fc17e9e03ae4519" /><Relationship Type="http://schemas.openxmlformats.org/officeDocument/2006/relationships/hyperlink" Target="https://www.ihpa.gov.au/sites/default/files/publications/tier_2_non-admitted_services_classification_compendium_2019-20.docx" TargetMode="External" Id="R8f4a26911bd6481e" /><Relationship Type="http://schemas.openxmlformats.org/officeDocument/2006/relationships/hyperlink" Target="https://www.ihpa.gov.au/sites/default/files/publications/tier_2_non-admitted_services_definitions_manual_2019-20.docx" TargetMode="External" Id="R71a756e1597e48b7" /><Relationship Type="http://schemas.openxmlformats.org/officeDocument/2006/relationships/hyperlink" Target="https://meteor.aihw.gov.au/content/699627" TargetMode="External" Id="R12ccc52cdcfa4c6a" /><Relationship Type="http://schemas.openxmlformats.org/officeDocument/2006/relationships/hyperlink" Target="https://meteor.aihw.gov.au/RegistrationAuthority/12" TargetMode="External" Id="R0708b897a3c346d4" /><Relationship Type="http://schemas.openxmlformats.org/officeDocument/2006/relationships/hyperlink" Target="https://meteor.aihw.gov.au/RegistrationAuthority/3" TargetMode="External" Id="R9984fa626b8646c4" /><Relationship Type="http://schemas.openxmlformats.org/officeDocument/2006/relationships/hyperlink" Target="https://meteor.aihw.gov.au/content/727333" TargetMode="External" Id="Re32b361aba064b1a" /><Relationship Type="http://schemas.openxmlformats.org/officeDocument/2006/relationships/hyperlink" Target="https://meteor.aihw.gov.au/RegistrationAuthority/12" TargetMode="External" Id="R93d24d00ca9e4e97" /><Relationship Type="http://schemas.openxmlformats.org/officeDocument/2006/relationships/hyperlink" Target="https://meteor.aihw.gov.au/content/679815" TargetMode="External" Id="R93116e8d6c9e47d0" /><Relationship Type="http://schemas.openxmlformats.org/officeDocument/2006/relationships/hyperlink" Target="https://meteor.aihw.gov.au/content/727029" TargetMode="External" Id="Rc3c7ef2e91474877" /><Relationship Type="http://schemas.openxmlformats.org/officeDocument/2006/relationships/hyperlink" Target="https://meteor.aihw.gov.au/content/679572" TargetMode="External" Id="R6ad2adcc5c3540cd" /><Relationship Type="http://schemas.openxmlformats.org/officeDocument/2006/relationships/hyperlink" Target="https://meteor.aihw.gov.au/content/679562" TargetMode="External" Id="R50b8f406337a45f4" /><Relationship Type="http://schemas.openxmlformats.org/officeDocument/2006/relationships/hyperlink" Target="https://meteor.aihw.gov.au/content/269973" TargetMode="External" Id="R94c5b524cdf74a0d" /><Relationship Type="http://schemas.openxmlformats.org/officeDocument/2006/relationships/hyperlink" Target="https://meteor.aihw.gov.au/content/679876" TargetMode="External" Id="R86dfaca455eb4e51" /><Relationship Type="http://schemas.openxmlformats.org/officeDocument/2006/relationships/hyperlink" Target="https://meteor.aihw.gov.au/content/727714" TargetMode="External" Id="Rf9807bb0dda84274" /></Relationships>
</file>

<file path=word/_rels/header1.xml.rels>&#65279;<?xml version="1.0" encoding="utf-8"?><Relationships xmlns="http://schemas.openxmlformats.org/package/2006/relationships"><Relationship Type="http://schemas.openxmlformats.org/officeDocument/2006/relationships/image" Target="/media/image.png" Id="R133e07df33744df7" /></Relationships>
</file>