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dde7b0c0b2b4cc9" /></Relationships>
</file>

<file path=word/document.xml><?xml version="1.0" encoding="utf-8"?>
<w:document xmlns:r="http://schemas.openxmlformats.org/officeDocument/2006/relationships" xmlns:w="http://schemas.openxmlformats.org/wordprocessingml/2006/main">
  <w:body>
    <w:p>
      <w:pPr>
        <w:pStyle w:val="Title"/>
      </w:pPr>
      <w:r>
        <w:t>State or Territory Government—net recurrent housing expenses, total Australian currency N[N(8)].NN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Government—net recurrent housing expenses, total Australian currency N[N(8)].NN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net expenditure (State and 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90e4207ca643c7">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state or territory government to maintain the operation of government funded housing stock, expressed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edfbb01cec4494">
              <w:r>
                <w:rPr>
                  <w:rStyle w:val="Hyperlink"/>
                </w:rPr>
                <w:t xml:space="preserve">State or Territory Government—net recurrent housing expenses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a58973516447ea">
              <w:r>
                <w:rPr>
                  <w:rStyle w:val="Hyperlink"/>
                </w:rPr>
                <w:t xml:space="preserve">Total Australian currency N[N(8)].NN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Please see the DSS specific information for each collection for a list of inclusions and exclusions of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2a90ef15784aae">
              <w:r>
                <w:rPr>
                  <w:rStyle w:val="Hyperlink"/>
                </w:rPr>
                <w:t xml:space="preserve">Community Housing DSS 2018-</w:t>
              </w:r>
            </w:hyperlink>
          </w:p>
          <w:p>
            <w:pPr>
              <w:spacing w:before="0" w:after="0"/>
            </w:pPr>
            <w:r>
              <w:rPr>
                <w:rStyle w:val="row-content"/>
                <w:color w:val="244061"/>
              </w:rPr>
              <w:t xml:space="preserve">       </w:t>
            </w:r>
            <w:hyperlink w:history="true" r:id="R0aa957e4383e49de">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metadata item records the net recurrent costs incurred by the state or territory government body with responsibility of administering community housing programs.</w:t>
            </w:r>
          </w:p>
          <w:p>
            <w:r>
              <w:rPr>
                <w:rStyle w:val="row-content"/>
              </w:rPr>
              <w:t xml:space="preserve"> </w:t>
            </w:r>
          </w:p>
          <w:p>
            <w:r>
              <w:rPr>
                <w:rStyle w:val="row-content"/>
                <w:b/>
              </w:rPr>
              <w:t xml:space="preserve">Includes:</w:t>
            </w:r>
          </w:p>
          <w:p>
            <w:r>
              <w:rPr>
                <w:rStyle w:val="row-content"/>
                <w:i/>
              </w:rPr>
              <w:t xml:space="preserve">Administration costs:</w:t>
            </w:r>
          </w:p>
          <w:p>
            <w:pPr>
              <w:pStyle w:val="ListParagraph"/>
              <w:numPr>
                <w:ilvl w:val="0"/>
                <w:numId w:val="2"/>
              </w:numPr>
            </w:pPr>
            <w:r>
              <w:rPr>
                <w:rStyle w:val="row-content"/>
              </w:rPr>
              <w:t xml:space="preserve">Employee expenses, including:</w:t>
            </w:r>
            <w:r>
              <w:br/>
            </w:r>
            <w:r>
              <w:rPr>
                <w:rStyle w:val="row-content"/>
              </w:rPr>
              <w:t xml:space="preserve">        • wages and salaries</w:t>
            </w:r>
            <w:r>
              <w:br/>
            </w:r>
            <w:r>
              <w:rPr>
                <w:rStyle w:val="row-content"/>
              </w:rPr>
              <w:t xml:space="preserve">        • payroll tax</w:t>
            </w:r>
            <w:r>
              <w:br/>
            </w:r>
            <w:r>
              <w:rPr>
                <w:rStyle w:val="row-content"/>
              </w:rPr>
              <w:t xml:space="preserve">        • superannuation</w:t>
            </w:r>
            <w:r>
              <w:br/>
            </w:r>
            <w:r>
              <w:rPr>
                <w:rStyle w:val="row-content"/>
              </w:rPr>
              <w:t xml:space="preserve">        • compensation</w:t>
            </w:r>
            <w:r>
              <w:br/>
            </w:r>
            <w:r>
              <w:rPr>
                <w:rStyle w:val="row-content"/>
              </w:rPr>
              <w:t xml:space="preserve">        • accrued leave</w:t>
            </w:r>
            <w:r>
              <w:br/>
            </w:r>
            <w:r>
              <w:rPr>
                <w:rStyle w:val="row-content"/>
              </w:rPr>
              <w:t xml:space="preserve">        • training</w:t>
            </w:r>
          </w:p>
          <w:p>
            <w:pPr>
              <w:pStyle w:val="ListParagraph"/>
              <w:numPr>
                <w:ilvl w:val="0"/>
                <w:numId w:val="2"/>
              </w:numPr>
            </w:pPr>
            <w:r>
              <w:rPr>
                <w:rStyle w:val="row-content"/>
              </w:rPr>
              <w:t xml:space="preserve">Supplies and service expenses, including:</w:t>
            </w:r>
            <w:r>
              <w:br/>
            </w:r>
            <w:r>
              <w:rPr>
                <w:rStyle w:val="row-content"/>
              </w:rPr>
              <w:t xml:space="preserve">        • stationery</w:t>
            </w:r>
            <w:r>
              <w:br/>
            </w:r>
            <w:r>
              <w:rPr>
                <w:rStyle w:val="row-content"/>
              </w:rPr>
              <w:t xml:space="preserve">        • postage</w:t>
            </w:r>
            <w:r>
              <w:br/>
            </w:r>
            <w:r>
              <w:rPr>
                <w:rStyle w:val="row-content"/>
              </w:rPr>
              <w:t xml:space="preserve">        • telephone</w:t>
            </w:r>
            <w:r>
              <w:br/>
            </w:r>
            <w:r>
              <w:rPr>
                <w:rStyle w:val="row-content"/>
              </w:rPr>
              <w:t xml:space="preserve">        • vehicle</w:t>
            </w:r>
            <w:r>
              <w:br/>
            </w:r>
            <w:r>
              <w:rPr>
                <w:rStyle w:val="row-content"/>
              </w:rPr>
              <w:t xml:space="preserve">        • office equipment</w:t>
            </w:r>
            <w:r>
              <w:br/>
            </w:r>
            <w:r>
              <w:rPr>
                <w:rStyle w:val="row-content"/>
              </w:rPr>
              <w:t xml:space="preserve">        • information technology</w:t>
            </w:r>
            <w:r>
              <w:br/>
            </w:r>
            <w:r>
              <w:rPr>
                <w:rStyle w:val="row-content"/>
              </w:rPr>
              <w:t xml:space="preserve">        • auditing and accounting</w:t>
            </w:r>
            <w:r>
              <w:br/>
            </w:r>
            <w:r>
              <w:rPr>
                <w:rStyle w:val="row-content"/>
              </w:rPr>
              <w:t xml:space="preserve">        • insurance;</w:t>
            </w:r>
          </w:p>
          <w:p>
            <w:pPr>
              <w:pStyle w:val="ListParagraph"/>
              <w:numPr>
                <w:ilvl w:val="0"/>
                <w:numId w:val="2"/>
              </w:numPr>
            </w:pPr>
            <w:r>
              <w:rPr>
                <w:rStyle w:val="row-content"/>
              </w:rPr>
              <w:t xml:space="preserve">Office rent;</w:t>
            </w:r>
          </w:p>
          <w:p>
            <w:pPr>
              <w:pStyle w:val="ListParagraph"/>
              <w:numPr>
                <w:ilvl w:val="0"/>
                <w:numId w:val="2"/>
              </w:numPr>
            </w:pPr>
            <w:r>
              <w:rPr>
                <w:rStyle w:val="row-content"/>
              </w:rPr>
              <w:t xml:space="preserve">Grants and subsidies (excluding rental subsidies);</w:t>
            </w:r>
          </w:p>
          <w:p>
            <w:pPr>
              <w:pStyle w:val="ListParagraph"/>
              <w:numPr>
                <w:ilvl w:val="0"/>
                <w:numId w:val="2"/>
              </w:numPr>
            </w:pPr>
            <w:r>
              <w:rPr>
                <w:rStyle w:val="row-content"/>
              </w:rPr>
              <w:t xml:space="preserve">Contracted community housing management services;</w:t>
            </w:r>
          </w:p>
          <w:p>
            <w:r>
              <w:rPr>
                <w:rStyle w:val="row-content"/>
                <w:i/>
              </w:rPr>
              <w:t xml:space="preserve">Operational costs:</w:t>
            </w:r>
          </w:p>
          <w:p>
            <w:pPr>
              <w:pStyle w:val="ListParagraph"/>
              <w:numPr>
                <w:ilvl w:val="0"/>
                <w:numId w:val="3"/>
              </w:numPr>
            </w:pPr>
            <w:r>
              <w:rPr>
                <w:rStyle w:val="row-content"/>
              </w:rPr>
              <w:t xml:space="preserve">Repairs and maintenance:</w:t>
            </w:r>
            <w:r>
              <w:br/>
            </w:r>
            <w:r>
              <w:rPr>
                <w:rStyle w:val="row-content"/>
              </w:rPr>
              <w:t xml:space="preserve">        • day-to-day maintenance, reflecting general wear and tear</w:t>
            </w:r>
            <w:r>
              <w:br/>
            </w:r>
            <w:r>
              <w:rPr>
                <w:rStyle w:val="row-content"/>
              </w:rPr>
              <w:t xml:space="preserve">        • cyclical maintenance, which is maintenance performed as part of a planned maintenance program</w:t>
            </w:r>
            <w:r>
              <w:br/>
            </w:r>
            <w:r>
              <w:rPr>
                <w:rStyle w:val="row-content"/>
              </w:rPr>
              <w:t xml:space="preserve">        • other maintenance, for example, repairs due to vandalism.</w:t>
            </w:r>
          </w:p>
          <w:p>
            <w:pPr>
              <w:pStyle w:val="ListParagraph"/>
              <w:numPr>
                <w:ilvl w:val="0"/>
                <w:numId w:val="3"/>
              </w:numPr>
            </w:pPr>
            <w:r>
              <w:rPr>
                <w:rStyle w:val="row-content"/>
              </w:rPr>
              <w:t xml:space="preserve">Strata-title or body corporate charges where the provider is responsible for payment;</w:t>
            </w:r>
          </w:p>
          <w:p>
            <w:pPr>
              <w:pStyle w:val="ListParagraph"/>
              <w:numPr>
                <w:ilvl w:val="0"/>
                <w:numId w:val="3"/>
              </w:numPr>
            </w:pPr>
            <w:r>
              <w:rPr>
                <w:rStyle w:val="row-content"/>
              </w:rPr>
              <w:t xml:space="preserve">Rates (for example, water or council/shire) where the provider is responsible for payment;</w:t>
            </w:r>
          </w:p>
          <w:p>
            <w:pPr>
              <w:pStyle w:val="ListParagraph"/>
              <w:numPr>
                <w:ilvl w:val="0"/>
                <w:numId w:val="3"/>
              </w:numPr>
            </w:pPr>
            <w:r>
              <w:rPr>
                <w:rStyle w:val="row-content"/>
              </w:rPr>
              <w:t xml:space="preserve">Cost of disposals, such as the cost of removal, sale or disposal of housing stock, including:</w:t>
            </w:r>
            <w:r>
              <w:br/>
            </w:r>
            <w:r>
              <w:rPr>
                <w:rStyle w:val="row-content"/>
              </w:rPr>
              <w:t xml:space="preserve">        • removal of stock to an alternative program</w:t>
            </w:r>
            <w:r>
              <w:br/>
            </w:r>
            <w:r>
              <w:rPr>
                <w:rStyle w:val="row-content"/>
              </w:rPr>
              <w:t xml:space="preserve">        • costs incurred in the sale of stock to private agencies or persons, such as agent and legal fees, inspection and building insurance, and public liability insurance</w:t>
            </w:r>
            <w:r>
              <w:br/>
            </w:r>
            <w:r>
              <w:rPr>
                <w:rStyle w:val="row-content"/>
              </w:rPr>
              <w:t xml:space="preserve">        • demolition costs in order to sell the land.</w:t>
            </w:r>
          </w:p>
          <w:p>
            <w:pPr>
              <w:pStyle w:val="ListParagraph"/>
              <w:numPr>
                <w:ilvl w:val="0"/>
                <w:numId w:val="3"/>
              </w:numPr>
            </w:pPr>
            <w:r>
              <w:rPr>
                <w:rStyle w:val="row-content"/>
              </w:rPr>
              <w:t xml:space="preserve">Market rent paid (such as from head leasing)</w:t>
            </w:r>
          </w:p>
          <w:p>
            <w:pPr>
              <w:pStyle w:val="ListParagraph"/>
              <w:numPr>
                <w:ilvl w:val="0"/>
                <w:numId w:val="3"/>
              </w:numPr>
            </w:pPr>
            <w:r>
              <w:rPr>
                <w:rStyle w:val="row-content"/>
              </w:rPr>
              <w:t xml:space="preserve">Interest expense (such as interest on loans).</w:t>
            </w:r>
          </w:p>
          <w:p>
            <w:r>
              <w:rPr>
                <w:rStyle w:val="row-content"/>
                <w:b/>
              </w:rPr>
              <w:t xml:space="preserve">Excludes: </w:t>
            </w:r>
          </w:p>
          <w:p>
            <w:pPr>
              <w:pStyle w:val="ListParagraph"/>
              <w:numPr>
                <w:ilvl w:val="0"/>
                <w:numId w:val="4"/>
              </w:numPr>
            </w:pPr>
            <w:r>
              <w:rPr>
                <w:rStyle w:val="row-content"/>
              </w:rPr>
              <w:t xml:space="preserve">Capital costs, for example:</w:t>
            </w:r>
            <w:r>
              <w:br/>
            </w:r>
            <w:r>
              <w:rPr>
                <w:rStyle w:val="row-content"/>
              </w:rPr>
              <w:t xml:space="preserve">        • the purchase of housing stock; and</w:t>
            </w:r>
            <w:r>
              <w:br/>
            </w:r>
            <w:r>
              <w:rPr>
                <w:rStyle w:val="row-content"/>
              </w:rPr>
              <w:t xml:space="preserve">        • construction costs.</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e55b7d69c0cd46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92da7ac6824e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b7d69c0cd461d" /><Relationship Type="http://schemas.openxmlformats.org/officeDocument/2006/relationships/header" Target="/word/header1.xml" Id="R162836b524614015" /><Relationship Type="http://schemas.openxmlformats.org/officeDocument/2006/relationships/settings" Target="/word/settings.xml" Id="Rd13b31265f62498d" /><Relationship Type="http://schemas.openxmlformats.org/officeDocument/2006/relationships/styles" Target="/word/styles.xml" Id="Ra26736c084a540f2" /><Relationship Type="http://schemas.openxmlformats.org/officeDocument/2006/relationships/hyperlink" Target="https://meteor.aihw.gov.au/RegistrationAuthority/11" TargetMode="External" Id="Rac90e4207ca643c7" /><Relationship Type="http://schemas.openxmlformats.org/officeDocument/2006/relationships/hyperlink" Target="https://meteor.aihw.gov.au/content/713852" TargetMode="External" Id="R59edfbb01cec4494" /><Relationship Type="http://schemas.openxmlformats.org/officeDocument/2006/relationships/hyperlink" Target="https://meteor.aihw.gov.au/content/463325" TargetMode="External" Id="Rcea58973516447ea" /><Relationship Type="http://schemas.openxmlformats.org/officeDocument/2006/relationships/hyperlink" Target="https://meteor.aihw.gov.au/content/710899" TargetMode="External" Id="R332a90ef15784aae" /><Relationship Type="http://schemas.openxmlformats.org/officeDocument/2006/relationships/hyperlink" Target="https://meteor.aihw.gov.au/RegistrationAuthority/11" TargetMode="External" Id="R0aa957e4383e49de" /><Relationship Type="http://schemas.openxmlformats.org/officeDocument/2006/relationships/numbering" Target="/word/numbering.xml" Id="Rd0632c8a43f5468b" /></Relationships>
</file>

<file path=word/_rels/header1.xml.rels>&#65279;<?xml version="1.0" encoding="utf-8"?><Relationships xmlns="http://schemas.openxmlformats.org/package/2006/relationships"><Relationship Type="http://schemas.openxmlformats.org/officeDocument/2006/relationships/image" Target="/media/image.png" Id="Rfe92da7ac6824e75" /></Relationships>
</file>