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0baac43b14ab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b84ee634146ef">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contains service-level information from Aboriginal and Torres Strait Islander primary health organisations funded by the Australian Government. The AIHW maintains this database and uses it to produce public national reports, released annually, public online data visualisations and individual service-level reports for each 6-monthly reporting cycle provided back to each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health organisations to improve the quality of administrative data and, where possible, to compile information into national datasets that can be reported on. The AIHW is responsible for undertaking data validation, analysis and reporting as part of the nKPI collection.</w:t>
            </w:r>
          </w:p>
          <w:p>
            <w:pPr>
              <w:spacing w:after="160"/>
            </w:pPr>
            <w:r>
              <w:rPr>
                <w:rStyle w:val="row-content-rich-text"/>
              </w:rPr>
              <w:t xml:space="preserve">AIHW undertakes these tasks in a way which is consistent with The Australian Institute of Health and Welfare Act 1987 </w:t>
            </w:r>
            <w:hyperlink w:history="true" r:id="Rd248a94f75af4f36">
              <w:r>
                <w:rPr>
                  <w:rStyle w:val="Hyperlink"/>
                </w:rPr>
                <w:t xml:space="preserve">https://www.legislation.gov.au/Series/C2004A03450</w:t>
              </w:r>
            </w:hyperlink>
            <w:r>
              <w:rPr>
                <w:rStyle w:val="row-content-rich-text"/>
              </w:rPr>
              <w:t xml:space="preserve"> and the Privacy Act 1988 (Cth) </w:t>
            </w:r>
            <w:hyperlink w:history="true" r:id="R4ca6ee32f12a48c4">
              <w:r>
                <w:rPr>
                  <w:rStyle w:val="Hyperlink"/>
                </w:rPr>
                <w:t xml:space="preserve">https://www.legislation.gov.au/Series/C2004A03712.</w:t>
              </w:r>
            </w:hyperlink>
            <w:r>
              <w:rPr>
                <w:rStyle w:val="row-content-rich-text"/>
              </w:rPr>
              <w:t xml:space="preserve"> The data collections managed by the AIHW are stored securely and in accordance with legislative privacy and confidentiality conditions.</w:t>
            </w:r>
          </w:p>
          <w:p>
            <w:pPr/>
            <w:r>
              <w:rPr>
                <w:rStyle w:val="row-content-rich-text"/>
              </w:rPr>
              <w:t xml:space="preserve">For further information see the AIHW website </w:t>
            </w:r>
            <w:hyperlink w:history="true" r:id="R2588f2057ae04c95">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After a trial reporting period in March 2012, nKPI data have been collected at approximately 6 month intervals beginning from June 2012.</w:t>
            </w:r>
          </w:p>
          <w:p>
            <w:pPr>
              <w:spacing w:after="160"/>
            </w:pPr>
            <w:r>
              <w:rPr>
                <w:rStyle w:val="row-content-rich-text"/>
              </w:rPr>
              <w:t xml:space="preserve">Following the first submission of data, the finalisation of data may take a number of additional months. During this period, and where required, the AIHW works in consultation with organisations to improve the quality of the data submitted. </w:t>
            </w:r>
          </w:p>
          <w:p>
            <w:pPr>
              <w:spacing w:after="160"/>
            </w:pPr>
            <w:r>
              <w:rPr>
                <w:rStyle w:val="row-content-rich-text"/>
              </w:rPr>
              <w:t xml:space="preserve">The AIHW checks the quality of the data submitted by each organisation and issues exception reports that invite organisations to correct and resubmit data when data quality issues are identified (see Accuracy section). Some organisations submitted data 4 or more times for the June 2018 reporting period, and there were often substantial delays between the AIHW issuing an exception report and the relevant organisation resubmitting data. Due to the extent of this data quality improvement process, there is a time lag between the date when the organisations submit data and the annual release of national reports and online data visualisations.</w:t>
            </w:r>
          </w:p>
          <w:p>
            <w:pPr>
              <w:spacing w:after="160"/>
            </w:pPr>
            <w:r>
              <w:rPr>
                <w:rStyle w:val="row-content-rich-text"/>
              </w:rPr>
              <w:t xml:space="preserve">The lastest data for the June 2018 collection will be available in mid 2019 as online data visualisations. These will present data at the national level, as well as by jurisdiction, remoteness, age, sex and disease category.</w:t>
            </w:r>
          </w:p>
          <w:p>
            <w:pPr/>
            <w:r>
              <w:rPr>
                <w:rStyle w:val="row-content-rich-text"/>
              </w:rPr>
              <w:t xml:space="preserve">The AIHW provides individualised reports and PowerPoint presentations to health organisations which submit data. For the June 2018 collection, these were provided on average 3 calendar days after finalising their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and online data visualisations. Five reports have been released since 2014 and are available as hard copy or on the AIHW website that can be downloaded free of charge. The latest data are available on the AIHW website in online data visualisations and Excel tables that can be downloaded.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statistical analyses used in the reports and data visualisations are descriptive in nature, such as counts and proportions. The online data visualisations also include a glossary of concepts  to assist interpretation of data. The data for all visualisations is provided in excel tables that accompany the reports. The 2018 online data visualisations have been for wider consultation that included the Department of Health and the Aboriginal and Torres Strait Islander Health Services Data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nKPI database includes information on the activities of participating organisations for the reporting periods ending in June 2012, December 2012, June 2013, December 2013, June 2014, December 2014, May 2015, June 2016, June 2017, December 2017 and June 2018. December 2015 data have been excluded due to some data quality concerns.</w:t>
            </w:r>
          </w:p>
          <w:p>
            <w:pPr>
              <w:spacing w:after="160"/>
            </w:pPr>
            <w:r>
              <w:rPr>
                <w:rStyle w:val="row-content-rich-text"/>
              </w:rPr>
              <w:t xml:space="preserve">nKPI data provide general information about activities undertaken at primary health organisations (for instance, the number of Indigenous babies whose birthweight was recorded) and health outcomes (for instance, the number of Indigenous babies whose birthweight was low, normal or high). The data can also be analysed at jurisdictional and remoteness level. These data may be used to inform Aboriginal and Torres Strait Islander health policy, program development and implementation.</w:t>
            </w:r>
          </w:p>
          <w:p>
            <w:pPr/>
            <w:r>
              <w:rPr>
                <w:rStyle w:val="row-content-rich-text"/>
              </w:rPr>
              <w:t xml:space="preserve">For almost all indicators, data relate to Indigenous regular clients of that organisation. A regular client is defined as someone who has visited a particular primary health care provider 3 or more times in the last 2 years. The exception is the 2 indicators relating to Birthweight of Indigenous babies (PI01 and PI02) as many Indigenous babies will not have visited a health service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provision of nKPI data, organisation staff members use a data extraction tool to copy relevant nKPI data, including those relating to health processes and outcomes, for a particular point in time.</w:t>
            </w:r>
          </w:p>
          <w:p>
            <w:pPr>
              <w:spacing w:after="160"/>
            </w:pPr>
            <w:r>
              <w:rPr>
                <w:rStyle w:val="row-content-rich-text"/>
              </w:rPr>
              <w:t xml:space="preserve">The AIHW checks the quality of the data supplied by each organisation. Where the AIHW identifies possible errors or inconsistencies with an organisation’s data, it issues the organisation with an exception report. The exception report provides a description of the data quality issues identified and an invitation to the organisation to resubmit data. The AIHW issued exception reports to 145 organisations for the reporting period ending in June 2018. The AIHW checks any data resubmitted as part of the exception report process, and continues to check data and issue exception reports as needed until no data quality issues are identified or the relevant organisation indicates it is unable or unwilling to resupply corrected data. At this point, the data are considered to be finalised for that organisation. However, where unresolved data quality issues are identified, the AIHW excludes this data from national analyses. For the June 2018 collection, 17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clinical information systems (CIS) to the AIHW. In June 2017, December 2017 and June 2018, changes to the data extraction process were a major reason for organisations having data quality issues in their original submission. For further information, see Chapter 2 in </w:t>
            </w:r>
            <w:r>
              <w:rPr>
                <w:rStyle w:val="row-content-rich-text"/>
                <w:i/>
              </w:rPr>
              <w:t xml:space="preserve">National Key Performance Indicators for Aboriginal and Torres Strait Islander primary health care: results from December 2017</w:t>
            </w:r>
            <w:r>
              <w:rPr>
                <w:rStyle w:val="row-content-rich-text"/>
              </w:rPr>
              <w:t xml:space="preserve">.</w:t>
            </w:r>
          </w:p>
          <w:p>
            <w:pPr/>
            <w:r>
              <w:rPr>
                <w:rStyle w:val="row-content-rich-text"/>
              </w:rPr>
              <w:t xml:space="preserve">To ensure accuracy in published data, once finalised, the draft is sent for wider consultation including the Department of Health, and the Aboriginal and Torres Strait Islander Health Services Data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 additional 2 indicators were added to the data collection in December 2014 and one additional indicator was added in December 2015. In the trial collection and the collection in July 2012, data were received from about 80-90 organisations that were participating in the Healthy for Life program funded by the Australian Government. The number of participating organisations increased to 173 in December 2012, 206 in June 2013, 207 in December 2013, 210 in June 2014, 233 in December 2014, 242 in June 2015, 240 in December 2015, 241 in June 2016, 228 in June 2017 and 231 in December 2017. For the June 2018 reporting period, 233 organisations were included in the collection.</w:t>
            </w:r>
          </w:p>
          <w:p>
            <w:pPr>
              <w:spacing w:after="160"/>
            </w:pPr>
            <w:r>
              <w:rPr>
                <w:rStyle w:val="row-content-rich-text"/>
              </w:rPr>
              <w:t xml:space="preserve">The June 2015 data collection was brought forward a month and so the reference date for this collection is May 2015 rather than June 2015. While it was expected that data would be submitted for a full reference period of the indicator, some health organisations may not have done so. For example, when extracting data for clients who had received health care processes over a 12 month period from June 2014 to May 2015, the data may only have been submitted for 11 months from July 2014 to May 2015.</w:t>
            </w:r>
          </w:p>
          <w:p>
            <w:pPr>
              <w:spacing w:after="160"/>
            </w:pPr>
            <w:r>
              <w:rPr>
                <w:rStyle w:val="row-content-rich-text"/>
              </w:rPr>
              <w:t xml:space="preserve">From the December 2015 reporting period, the Northern Territory Government has adopted the nKPI definition of an Indigenous regular client for nKPI reporting purposes. This change improves the consistency of nKPI data collected and represents an improvement to overall nKPI data quality. Notwithstanding this improvement, the definition change has implications for making comparisons between current and previous reporting periods. From a statistical perspective, the change in definition means that comparisons with previous periods cannot be made.</w:t>
            </w:r>
          </w:p>
          <w:p>
            <w:pPr>
              <w:spacing w:after="160"/>
            </w:pPr>
            <w:r>
              <w:rPr>
                <w:rStyle w:val="row-content-rich-text"/>
              </w:rPr>
              <w:t xml:space="preserve">Due to some concerns around the quality of data collected for the December 2015 period, this reporting cycle has been excluded from national reporting.</w:t>
            </w:r>
          </w:p>
          <w:p>
            <w:pPr>
              <w:spacing w:after="160"/>
            </w:pPr>
            <w:r>
              <w:rPr>
                <w:rStyle w:val="row-content-rich-text"/>
              </w:rPr>
              <w:t xml:space="preserve">For the June 2017 nKPI data collection, changes were made to the data extraction process for Best Practice, Communicare, Medical Director and PCIS following the introduction of a new Direct Load reporting process by the Department of Health. Some refinements were also made to the MMEX extraction process. AIHW data quality analysis identified time series anomalies in the June 2017 collection, leading to a break in series at the national level.</w:t>
            </w:r>
          </w:p>
          <w:p>
            <w:pPr/>
            <w:r>
              <w:rPr>
                <w:rStyle w:val="row-content-rich-text"/>
              </w:rPr>
              <w:t xml:space="preserve">Data for June 2017, December 2017 and June 2018 are comparable except for indicators PI18—Kidney function test recorded and PI19—Kidney function tests. June 2017 national data for these indicators are not reported due to data quality issues.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80049ad5914c38">
              <w:r>
                <w:rPr>
                  <w:rStyle w:val="Hyperlink"/>
                </w:rPr>
                <w:t xml:space="preserve">Indigenous primary health care key performance indicators (December 2018)</w:t>
              </w:r>
            </w:hyperlink>
          </w:p>
          <w:p>
            <w:pPr>
              <w:spacing w:before="0" w:after="0"/>
            </w:pPr>
            <w:r>
              <w:rPr>
                <w:rStyle w:val="row-content"/>
                <w:color w:val="244061"/>
              </w:rPr>
              <w:t xml:space="preserve">       </w:t>
            </w:r>
            <w:hyperlink w:history="true" r:id="R3e933937ba764482">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b613214eda76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713280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39ac53172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3214eda7643ba" /><Relationship Type="http://schemas.openxmlformats.org/officeDocument/2006/relationships/header" Target="/word/header1.xml" Id="Rde131cd9813e41f0" /><Relationship Type="http://schemas.openxmlformats.org/officeDocument/2006/relationships/settings" Target="/word/settings.xml" Id="R529884d464d84530" /><Relationship Type="http://schemas.openxmlformats.org/officeDocument/2006/relationships/styles" Target="/word/styles.xml" Id="R1d307e6742f748ac" /><Relationship Type="http://schemas.openxmlformats.org/officeDocument/2006/relationships/hyperlink" Target="https://meteor.aihw.gov.au/RegistrationAuthority/5" TargetMode="External" Id="Rcafb84ee634146ef" /><Relationship Type="http://schemas.openxmlformats.org/officeDocument/2006/relationships/hyperlink" Target="https://www.legislation.gov.au/Series/C2004A03450" TargetMode="External" Id="Rd248a94f75af4f36" /><Relationship Type="http://schemas.openxmlformats.org/officeDocument/2006/relationships/hyperlink" Target="https://www.legislation.gov.au/Series/C2004A03712" TargetMode="External" Id="R4ca6ee32f12a48c4" /><Relationship Type="http://schemas.openxmlformats.org/officeDocument/2006/relationships/hyperlink" Target="http://www.aihw.gov.au/" TargetMode="External" Id="R2588f2057ae04c95" /><Relationship Type="http://schemas.openxmlformats.org/officeDocument/2006/relationships/hyperlink" Target="https://meteor.aihw.gov.au/content/743252" TargetMode="External" Id="Rae80049ad5914c38" /><Relationship Type="http://schemas.openxmlformats.org/officeDocument/2006/relationships/hyperlink" Target="https://meteor.aihw.gov.au/RegistrationAuthority/5" TargetMode="External" Id="R3e933937ba764482" /></Relationships>
</file>

<file path=word/_rels/header1.xml.rels>&#65279;<?xml version="1.0" encoding="utf-8"?><Relationships xmlns="http://schemas.openxmlformats.org/package/2006/relationships"><Relationship Type="http://schemas.openxmlformats.org/officeDocument/2006/relationships/image" Target="/media/image.png" Id="R0ab39ac531724806" /></Relationships>
</file>