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e263bc3d64526" /></Relationships>
</file>

<file path=word/document.xml><?xml version="1.0" encoding="utf-8"?>
<w:document xmlns:r="http://schemas.openxmlformats.org/officeDocument/2006/relationships" xmlns:w="http://schemas.openxmlformats.org/wordprocessingml/2006/main">
  <w:body>
    <w:p>
      <w:pPr>
        <w:pStyle w:val="Title"/>
      </w:pPr>
      <w:r>
        <w:t>Out-of-home care survey national dataset 2018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survey national dataset 2018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01d8a7e184b59">
              <w:r>
                <w:rPr>
                  <w:rStyle w:val="Hyperlink"/>
                  <w:color w:val="244061"/>
                </w:rPr>
                <w:t xml:space="preserve">AIHW Data Quality Statements</w:t>
              </w:r>
            </w:hyperlink>
            <w:r>
              <w:rPr>
                <w:rStyle w:val="row-content"/>
                <w:color w:val="244061"/>
              </w:rPr>
              <w:t xml:space="preserve">, Standard 08/03/2019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 national data set includes data on the views of children in out-of-home care, collected by the state and territory departments responsible for child protection, as part of local case management processes.</w:t>
            </w:r>
          </w:p>
          <w:p>
            <w:pPr>
              <w:spacing w:after="160"/>
            </w:pPr>
            <w:r>
              <w:rPr>
                <w:rStyle w:val="row-content-rich-text"/>
              </w:rPr>
              <w:t xml:space="preserve">The data set includes children aged 8–17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relevant minister or chief executive, and who had been on a relevant court order for 3 months or more.</w:t>
            </w:r>
          </w:p>
          <w:p>
            <w:pPr/>
            <w:r>
              <w:rPr>
                <w:rStyle w:val="row-content-rich-text"/>
              </w:rPr>
              <w:t xml:space="preserve">The data set includes data about children’s views on various topics, including feelings of safety, participation in decision 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record (child-level) data were provided to the Australian Institute of Health and Welfare (AIHW) by the state and territory departments responsible for child protection.</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ff01caa5d8a54afa">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 dataset is from 1 January 2018 to 30 June 2018; states and territories collected data as part of their local case management processes during this period.</w:t>
            </w:r>
          </w:p>
          <w:p>
            <w:pPr>
              <w:spacing w:after="160"/>
            </w:pPr>
            <w:r>
              <w:rPr>
                <w:rStyle w:val="row-content-rich-text"/>
              </w:rPr>
              <w:t xml:space="preserve">The data set was collected for the second time for the 2018 reference period. As such, there is 1 prior collection, from 2015. No subsequent collections are currently confirmed, however it was originally conceived as a biennial collection.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 set will be available on the AIHW website </w:t>
            </w:r>
            <w:hyperlink w:history="true" r:id="Radad2d8496384332">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828301df2a21499b">
              <w:r>
                <w:rPr>
                  <w:rStyle w:val="Hyperlink"/>
                </w:rPr>
                <w:t xml:space="preserve">https://www.aihw.gov.au/about-our-data/accessing-australian-government-data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519a276db942442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relevant minister or chief executive, and who had been on a relevant court order for 3 months or more.</w:t>
            </w:r>
          </w:p>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ab7fafe837c24266">
              <w:r>
                <w:rPr>
                  <w:rStyle w:val="Hyperlink"/>
                </w:rPr>
                <w:t xml:space="preserve">report</w:t>
              </w:r>
            </w:hyperlink>
            <w:r>
              <w:rPr>
                <w:rStyle w:val="row-content-rich-text"/>
              </w:rPr>
              <w:t xml:space="preserve">.</w:t>
            </w:r>
          </w:p>
          <w:p>
            <w:pPr>
              <w:spacing w:after="160"/>
            </w:pPr>
            <w:r>
              <w:rPr>
                <w:rStyle w:val="row-content-rich-text"/>
              </w:rPr>
              <w:t xml:space="preserve">The data set includes data about children’s views on various topics, including feelings of safety, participation in decision making, community connection and activity, family connection and contact, presence of a significant adult in their life, and leaving care.</w:t>
            </w:r>
          </w:p>
          <w:p>
            <w:pPr/>
            <w:r>
              <w:rPr>
                <w:rStyle w:val="row-content-rich-text"/>
              </w:rPr>
              <w:t xml:space="preserve">Data sourced from the data set are used for reporting of selected indicators under the National Standards for out-of-home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b600d971e8ae41a1">
              <w:r>
                <w:rPr>
                  <w:rStyle w:val="Hyperlink"/>
                </w:rPr>
                <w:t xml:space="preserve">report</w:t>
              </w:r>
            </w:hyperlink>
            <w:r>
              <w:rPr>
                <w:rStyle w:val="row-content-rich-text"/>
              </w:rPr>
              <w:t xml:space="preserve">. Data were extracted from the state and territory data systems, according to definitions and technical specifications agreed by states and territories and the AIHW.</w:t>
            </w:r>
          </w:p>
          <w:p>
            <w:pPr>
              <w:spacing w:after="160"/>
            </w:pPr>
            <w:r>
              <w:rPr>
                <w:rStyle w:val="row-content-rich-text"/>
              </w:rPr>
              <w:t xml:space="preserve">The data set only includes in-scope children who participated in the data collection that occurred as part of local case management processes. Response rates (that is, the number of children approached, divided by the number of children who completed the questions) for each state and territory are not known, but a national response rate of 53% was reported in 2018. In-scope children who did not participate in the data collection (for example, because the timing of their case review did not align with the data collection reference period) are excluded from the data set. It is difficult to determine the number of excluded children due to the movement of children in and out of scope over the 6-month reference period. There may be differences between the children included in the data set and those not included, but the nature, extent and impact of potential biases in the final data set used for analysis is uncertain.</w:t>
            </w:r>
          </w:p>
          <w:p>
            <w:pPr/>
            <w:r>
              <w:rPr>
                <w:rStyle w:val="row-content-rich-text"/>
              </w:rPr>
              <w:t xml:space="preserve">Data for Western Australia were not available for indicators 8.1 (Community activity), 9.3 (Family contact) and for 10.2 (Sense of community for the question ‘Are you helped to follow your religion, beliefs and customs where you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was collected for the second time in the 2018 reference period. As such, there is 1 prior collection, from 2015. No subsequent collections are currently confirmed; however, it was originally conceived as a biennial collection.</w:t>
            </w:r>
          </w:p>
          <w:p>
            <w:pPr>
              <w:spacing w:after="160"/>
            </w:pPr>
            <w:r>
              <w:rPr>
                <w:rStyle w:val="row-content-rich-text"/>
              </w:rPr>
              <w:t xml:space="preserve">Data were collected by the state and territory departments responsible for child protection. As the data were collected as part of local case management processes, there was some variation in the sampling and administration methodologies used across states and territories. A brief description of the process used by each state and territory is provided in the </w:t>
            </w:r>
            <w:hyperlink w:history="true" r:id="R49dcee987b024d84">
              <w:r>
                <w:rPr>
                  <w:rStyle w:val="Hyperlink"/>
                </w:rPr>
                <w:t xml:space="preserve">report</w:t>
              </w:r>
            </w:hyperlink>
            <w:r>
              <w:rPr>
                <w:rStyle w:val="row-content-rich-text"/>
              </w:rPr>
              <w:t xml:space="preserve">. Data were extracted from the state and territory data systems, according to definitions and technical specifications agreed by states and territories and the AIHW.</w:t>
            </w:r>
          </w:p>
          <w:p>
            <w:pPr/>
            <w:r>
              <w:rPr>
                <w:rStyle w:val="row-content-rich-text"/>
              </w:rPr>
              <w:t xml:space="preserve">In terms of coherence between the 2015 national pilot survey and the 2018 national survey, state and territory sampling and administration methodologies were similar across the two surveys. Some jurisdictions were not able to collect all of the relevant national questions in both surveys. Further detail is provided in the report. Data for Western Australia were not available for indicators 8.1 (Community activity), 9.3 (Family contact) and for 10.2 (Sense of community for the question ‘Are you helped to follow your religion, beliefs and customs where you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 (AIHW)</w:t>
            </w:r>
          </w:p>
          <w:p>
            <w:r>
              <w:br/>
            </w:r>
          </w:p>
        </w:tc>
      </w:tr>
    </w:tbl>
    <w:p>
      <w:r>
        <w:br/>
      </w:r>
    </w:p>
    <w:sectPr>
      <w:footerReference xmlns:r="http://schemas.openxmlformats.org/officeDocument/2006/relationships" w:type="default" r:id="Rda769337eadf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711680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6939d86e0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69337eadf4fdd" /><Relationship Type="http://schemas.openxmlformats.org/officeDocument/2006/relationships/header" Target="/word/header1.xml" Id="Rc89a1e0b2f214a80" /><Relationship Type="http://schemas.openxmlformats.org/officeDocument/2006/relationships/settings" Target="/word/settings.xml" Id="R1282b34e94b24954" /><Relationship Type="http://schemas.openxmlformats.org/officeDocument/2006/relationships/styles" Target="/word/styles.xml" Id="R93f0897d2b91484e" /><Relationship Type="http://schemas.openxmlformats.org/officeDocument/2006/relationships/hyperlink" Target="https://meteor.aihw.gov.au/RegistrationAuthority/5" TargetMode="External" Id="R4b201d8a7e184b59" /><Relationship Type="http://schemas.openxmlformats.org/officeDocument/2006/relationships/hyperlink" Target="http://www.aihw.gov.au/" TargetMode="External" Id="Rff01caa5d8a54afa" /><Relationship Type="http://schemas.openxmlformats.org/officeDocument/2006/relationships/hyperlink" Target="http://www.aihw.gov.au/child-protection/" TargetMode="External" Id="Radad2d8496384332" /><Relationship Type="http://schemas.openxmlformats.org/officeDocument/2006/relationships/hyperlink" Target="https://www.aihw.gov.au/about-our-data/accessing-australian-government-data" TargetMode="External" Id="R828301df2a21499b" /><Relationship Type="http://schemas.openxmlformats.org/officeDocument/2006/relationships/hyperlink" Target="mailto:info@aihw.gov.au" TargetMode="External" Id="R519a276db9424426" /><Relationship Type="http://schemas.openxmlformats.org/officeDocument/2006/relationships/hyperlink" Target="http://www.aihw.gov.au/reports/child-protection/views-of-children-young-people-oohc-2018" TargetMode="External" Id="Rab7fafe837c24266" /><Relationship Type="http://schemas.openxmlformats.org/officeDocument/2006/relationships/hyperlink" Target="http://www.aihw.gov.au/reports/child-protection/views-of-children-young-people-oohc-2018" TargetMode="External" Id="Rb600d971e8ae41a1" /><Relationship Type="http://schemas.openxmlformats.org/officeDocument/2006/relationships/hyperlink" Target="http://www.aihw.gov.au/reports/child-protection/views-of-children-young-people-oohc-2018" TargetMode="External" Id="R49dcee987b024d84" /></Relationships>
</file>

<file path=word/_rels/header1.xml.rels>&#65279;<?xml version="1.0" encoding="utf-8"?><Relationships xmlns="http://schemas.openxmlformats.org/package/2006/relationships"><Relationship Type="http://schemas.openxmlformats.org/officeDocument/2006/relationships/image" Target="/media/image.png" Id="R9b56939d86e04ca9" /></Relationships>
</file>