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8628f7f348425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2019;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941a6e7df14f54">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people aged 20-64 years with, or working towards, post-school qualifications in Australian Qualifications Framework (AQF) Certificate III or above by Indigenous status.</w:t>
            </w:r>
          </w:p>
          <w:p>
            <w:pPr>
              <w:pStyle w:val="ListParagraph"/>
              <w:numPr>
                <w:ilvl w:val="0"/>
                <w:numId w:val="2"/>
              </w:numPr>
            </w:pPr>
            <w:r>
              <w:rPr>
                <w:rStyle w:val="row-content-rich-text"/>
              </w:rPr>
              <w:t xml:space="preserve">Numerator: people aged 20-64 years who have attained post-school qualifications in AQF Certificate III or above, or are currently studying a non-school qualification.</w:t>
            </w:r>
          </w:p>
          <w:p>
            <w:pPr>
              <w:pStyle w:val="ListParagraph"/>
              <w:numPr>
                <w:ilvl w:val="0"/>
                <w:numId w:val="2"/>
              </w:numPr>
            </w:pPr>
            <w:r>
              <w:rPr>
                <w:rStyle w:val="row-content-rich-text"/>
              </w:rPr>
              <w:t xml:space="preserve">Denominator: total population of people aged 20-64 years, excluding persons who were not studying and had a level of non-school qualification that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935ca0e3883546a0">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2014 survey were released in November 2014.</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Education and Work, Australia (ABS 2014)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(ABS 2015).</w:t>
            </w:r>
          </w:p>
          <w:p>
            <w:pPr/>
            <w:r>
              <w:rPr>
                <w:rStyle w:val="row-content-rich-text"/>
              </w:rPr>
              <w:t xml:space="preserve">The data for the NATSISS are available from the ABS website in the publication National Aboriginal and Torres Strait Islander Social Survey, 2014-15 (ABS 2016a).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National Aboriginal and Torres Strait Islander Social Survey: User Guide, 2014-15 </w:t>
            </w:r>
            <w:r>
              <w:rPr>
                <w:rStyle w:val="row-content-rich-text"/>
              </w:rPr>
              <w:t xml:space="preserve">(ABS 2016a) and Explanatory Notes in </w:t>
            </w:r>
            <w:r>
              <w:rPr>
                <w:rStyle w:val="row-content-rich-text"/>
                <w:i/>
              </w:rPr>
              <w:t xml:space="preserve">Education and Work, Australia </w:t>
            </w:r>
            <w:r>
              <w:rPr>
                <w:rStyle w:val="row-content-rich-text"/>
              </w:rPr>
              <w:t xml:space="preserve">(ABS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collects information on level of highest non-school qualification and level of current study. The classification of qualifications used is the Australian Standard Classification of Education (ASCED) 2001 (ABS 2001).</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r>
              <w:rPr>
                <w:rStyle w:val="row-content-rich-text"/>
              </w:rPr>
              <w:t xml:space="preserve">The SEW and NATSISS collect information on current study, level of current study and qualifications.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SEW response rate was 92%, which constituted 39,100 completed interviews. The 2014 response rate was consistent with that in previous years.</w:t>
            </w:r>
          </w:p>
          <w:p>
            <w:pPr>
              <w:spacing w:after="160"/>
            </w:pPr>
            <w:r>
              <w:rPr>
                <w:rStyle w:val="row-content-rich-text"/>
              </w:rPr>
              <w:t xml:space="preserve">The data for the SEW are collected from an ARA on behalf of other members of the household and are weighted for nonresponse. The 2014-15 NATSISS was conducted in all states and territories, including very remote areas. Non-private dwellings such as hotels, motels, hospitals, nursing homes and short-stay caravan parks were excluded from the survey. The final response rate for the 2014-15 NATSISS was 80.3%.</w:t>
            </w:r>
          </w:p>
          <w:p>
            <w:pPr>
              <w:spacing w:after="160"/>
            </w:pPr>
            <w:r>
              <w:rPr>
                <w:rStyle w:val="row-content-rich-text"/>
              </w:rPr>
              <w:t xml:space="preserve">The NATSISS and the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2014 SEW are consistent with those supplied for the Council of Australian Governments (COAG)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SEW for the first time in 2013. There were an estimated491,170 people who reported being permanently unable to work in May 2014.</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spacing w:after="160"/>
            </w:pPr>
            <w:r>
              <w:rPr>
                <w:rStyle w:val="row-content-rich-text"/>
              </w:rPr>
              <w:t xml:space="preserve">The Census of Population and Housing and the Survey of Qualifications and Work (ABS 2016b) also provide information on educational attainment.</w:t>
            </w:r>
          </w:p>
          <w:p>
            <w:pPr>
              <w:spacing w:after="160"/>
            </w:pPr>
            <w:r>
              <w:rPr>
                <w:rStyle w:val="row-content-rich-text"/>
              </w:rPr>
              <w:t xml:space="preserve">Both the numerator and the denominator for Aboriginal and/or Torres Strait Islander persons come from the NATSISS. Measures based on the 2014-15 NATSISS are consistent with those supplied for COAG reporting from previous cycles of this survey.</w:t>
            </w:r>
          </w:p>
          <w:p>
            <w:pPr/>
            <w:r>
              <w:rPr>
                <w:rStyle w:val="row-content-rich-text"/>
              </w:rPr>
              <w:t xml:space="preserve">The data items used to construct the measures in the NATSISS and the SEW are consistent and comparable, and support assessment of change over time. While there are a range of differences between the scope, coverage, timing and collection methodologies of the collections, these issues do not affect their broad consistency for this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2014-15 NATSISS.</w:t>
            </w:r>
          </w:p>
          <w:p>
            <w:pPr>
              <w:spacing w:after="160"/>
            </w:pPr>
            <w:r>
              <w:rPr>
                <w:rStyle w:val="row-content-rich-text"/>
              </w:rPr>
              <w:t xml:space="preserve">For the non-Indigenous population: the ABS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2014. Education and Work, Australia, May 2014. ABS Cat. no. 6227.0. Canberra: ABS.</w:t>
            </w:r>
          </w:p>
          <w:p>
            <w:pPr>
              <w:spacing w:after="160"/>
            </w:pPr>
            <w:r>
              <w:rPr>
                <w:rStyle w:val="row-content-rich-text"/>
              </w:rPr>
              <w:t xml:space="preserve">ABS 2015. Microdata: Education and Work, May 2014. ABS Cat. no. 6227.0.30.001. Canberra: ABS.</w:t>
            </w:r>
          </w:p>
          <w:p>
            <w:pPr>
              <w:spacing w:after="160"/>
            </w:pPr>
            <w:r>
              <w:rPr>
                <w:rStyle w:val="row-content-rich-text"/>
              </w:rPr>
              <w:t xml:space="preserve">ABS 2016a. National Aboriginal and Torres Strait Islander Social Survey: User Guide, 2014–15. ABS Cat. no. 4714.0. Canberra: ABS.</w:t>
            </w:r>
          </w:p>
          <w:p>
            <w:pPr/>
            <w:r>
              <w:rPr>
                <w:rStyle w:val="row-content-rich-text"/>
              </w:rPr>
              <w:t xml:space="preserve">ABS 2016b. Qualifications and Work, Australia, 2015. ABS Cat. no. 4235.0.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57ef09ea72497e">
              <w:r>
                <w:rPr>
                  <w:rStyle w:val="Hyperlink"/>
                </w:rPr>
                <w:t xml:space="preserve">National Indigenous Reform Agreement: PI 15b-Proportion of Indigenous 20-64 year olds with or working towards a post-school qualification in Certificate level III or above (survey data), 2018; Quality Statement</w:t>
              </w:r>
            </w:hyperlink>
          </w:p>
          <w:p>
            <w:pPr>
              <w:pStyle w:val="registration-status"/>
              <w:spacing w:before="0" w:after="0"/>
            </w:pPr>
            <w:hyperlink w:history="true" r:id="R34e1241dfd9d4e8e">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c208dc530a664f74">
              <w:r>
                <w:rPr>
                  <w:rStyle w:val="Hyperlink"/>
                </w:rPr>
                <w:t xml:space="preserve">National Indigenous Reform Agreement: PI 15b-Proportion of Indigenous 20-64 year olds with or working towards a post-school qualification in Certificate level III or above (survey data), 2020; Quality Statement</w:t>
              </w:r>
            </w:hyperlink>
          </w:p>
          <w:p>
            <w:pPr>
              <w:pStyle w:val="registration-status"/>
              <w:spacing w:before="0" w:after="0"/>
            </w:pPr>
            <w:hyperlink w:history="true" r:id="R1145d75906854949">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9e7b67371dd448b">
              <w:r>
                <w:rPr>
                  <w:rStyle w:val="Hyperlink"/>
                </w:rPr>
                <w:t xml:space="preserve">National Indigenous Reform Agreement: PI 15b-Proportion of Indigenous 20–64 year olds with or working towards a post-school qualification in Certificate level III or above (survey data), 2019</w:t>
              </w:r>
            </w:hyperlink>
          </w:p>
          <w:p>
            <w:pPr>
              <w:pStyle w:val="registration-status"/>
              <w:spacing w:before="0" w:after="0"/>
            </w:pPr>
            <w:hyperlink w:history="true" r:id="Rc632f35672be4751">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73c62523f3a24e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5663da7782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c62523f3a24efd" /><Relationship Type="http://schemas.openxmlformats.org/officeDocument/2006/relationships/header" Target="/word/header1.xml" Id="R817fbbd663c34e91" /><Relationship Type="http://schemas.openxmlformats.org/officeDocument/2006/relationships/settings" Target="/word/settings.xml" Id="R7ad30c09ad3647fb" /><Relationship Type="http://schemas.openxmlformats.org/officeDocument/2006/relationships/styles" Target="/word/styles.xml" Id="Rbd6fc9b1017f4d3a" /><Relationship Type="http://schemas.openxmlformats.org/officeDocument/2006/relationships/numbering" Target="/word/numbering.xml" Id="R6e178329161a460c" /><Relationship Type="http://schemas.openxmlformats.org/officeDocument/2006/relationships/hyperlink" Target="https://meteor.aihw.gov.au/RegistrationAuthority/6" TargetMode="External" Id="R8c941a6e7df14f54" /><Relationship Type="http://schemas.openxmlformats.org/officeDocument/2006/relationships/hyperlink" Target="http://www.abs.gov.au/websitedbs/D3310114.nsf/4a256353001af3ed4b2562bb00121564/10ca14cb967e5b83ca2573ae00197b65!OpenDocument" TargetMode="External" Id="R935ca0e3883546a0" /><Relationship Type="http://schemas.openxmlformats.org/officeDocument/2006/relationships/hyperlink" Target="https://meteor.aihw.gov.au/content/689608" TargetMode="External" Id="Rb357ef09ea72497e" /><Relationship Type="http://schemas.openxmlformats.org/officeDocument/2006/relationships/hyperlink" Target="https://meteor.aihw.gov.au/RegistrationAuthority/6" TargetMode="External" Id="R34e1241dfd9d4e8e" /><Relationship Type="http://schemas.openxmlformats.org/officeDocument/2006/relationships/hyperlink" Target="https://meteor.aihw.gov.au/content/726280" TargetMode="External" Id="Rc208dc530a664f74" /><Relationship Type="http://schemas.openxmlformats.org/officeDocument/2006/relationships/hyperlink" Target="https://meteor.aihw.gov.au/RegistrationAuthority/6" TargetMode="External" Id="R1145d75906854949" /><Relationship Type="http://schemas.openxmlformats.org/officeDocument/2006/relationships/hyperlink" Target="https://meteor.aihw.gov.au/content/699478" TargetMode="External" Id="R49e7b67371dd448b" /><Relationship Type="http://schemas.openxmlformats.org/officeDocument/2006/relationships/hyperlink" Target="https://meteor.aihw.gov.au/RegistrationAuthority/6" TargetMode="External" Id="Rc632f35672be4751" /></Relationships>
</file>

<file path=word/_rels/header1.xml.rels>&#65279;<?xml version="1.0" encoding="utf-8"?><Relationships xmlns="http://schemas.openxmlformats.org/package/2006/relationships"><Relationship Type="http://schemas.openxmlformats.org/officeDocument/2006/relationships/image" Target="/media/image.png" Id="R6a5663da77824fcc" /></Relationships>
</file>