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4a3858de0f4ff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2019;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0aabbe0964233">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741a71f73fe04372">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bcbad068f13d4b37">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57900cd0f2004f62">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78d9913f83684c65">
              <w:r>
                <w:rPr>
                  <w:rStyle w:val="Hyperlink"/>
                </w:rPr>
                <w:t xml:space="preserve">Census of Population and Housing: Understanding the Census and Census Data, Australia, 2016</w:t>
              </w:r>
            </w:hyperlink>
            <w:r>
              <w:rPr>
                <w:rStyle w:val="row-content-rich-text"/>
              </w:rPr>
              <w:t xml:space="preserve"> (ABS 2017b).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level of non-school qualification, student status and type of educational institution attending for each individual. The classification used is the </w:t>
            </w:r>
            <w:r>
              <w:rPr>
                <w:rStyle w:val="row-content-rich-text"/>
                <w:i/>
              </w:rPr>
              <w:t xml:space="preserve">Australian Standard Classification of Education (ASCED) 2001 </w:t>
            </w:r>
            <w:r>
              <w:rPr>
                <w:rStyle w:val="row-content-rich-text"/>
              </w:rPr>
              <w:t xml:space="preserve">(ABS 2001)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four Census data items.</w:t>
            </w:r>
          </w:p>
          <w:p>
            <w:pPr>
              <w:spacing w:after="160"/>
            </w:pPr>
            <w:r>
              <w:rPr>
                <w:rStyle w:val="row-content-rich-text"/>
              </w:rPr>
              <w:t xml:space="preserve">Non-school qualification: Level of education is used to ascertain level of highest qualification (for qualifications at or above Certificate III level). Non-response rate for this variable in the 2016 Census was 2.8% (up from 2.6% in 2011).</w:t>
            </w:r>
          </w:p>
          <w:p>
            <w:pPr>
              <w:spacing w:after="160"/>
            </w:pPr>
            <w:r>
              <w:rPr>
                <w:rStyle w:val="row-content-rich-text"/>
              </w:rPr>
              <w:t xml:space="preserve">Level of current study isn’t collected in the Census. The combination of Full-time/Part-time student status (for whether studying or not) and Type of educational institution attending (to exclude school students) can be used to give the number of persons studying for a non-school qualification. Non-response rates for these variables were 6.8% and 2.7% respectively (compared to 6.2% and 4.4% in 2011).</w:t>
            </w:r>
          </w:p>
          <w:p>
            <w:pPr>
              <w:spacing w:after="160"/>
            </w:pPr>
            <w:r>
              <w:rPr>
                <w:rStyle w:val="row-content-rich-text"/>
              </w:rPr>
              <w:t xml:space="preserve">An estimated 5.3% of respondents provided more than one response to Type of educational institution attending and 0.8% to Full-time part-time student status;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f6f1f7f85fde4475">
              <w:r>
                <w:rPr>
                  <w:rStyle w:val="Hyperlink"/>
                </w:rPr>
                <w:t xml:space="preserve">data quality statements</w:t>
              </w:r>
            </w:hyperlink>
            <w:r>
              <w:rPr>
                <w:rStyle w:val="row-content-rich-text"/>
              </w:rPr>
              <w:t xml:space="preserve"> and the </w:t>
            </w:r>
            <w:hyperlink w:history="true" r:id="R5a6056ad1beb4046">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Australian Aboriginal and Torres Strait Islander Health Survey (ABS 2013) and Survey of Education and Work (ABS 2017a)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2013. Australian Aboriginal and Torres Strait Islander Health Survey: First Results, Australia, 2012-13. ABS Cat. no. 4727.0.55.001. Canberra: ABS.</w:t>
            </w:r>
          </w:p>
          <w:p>
            <w:pPr>
              <w:spacing w:after="160"/>
            </w:pPr>
            <w:r>
              <w:rPr>
                <w:rStyle w:val="row-content-rich-text"/>
              </w:rPr>
              <w:t xml:space="preserve">ABS 2017a. Education and Work, Australia, May 2017. ABS Cat. no. 6227.0. Canberra: ABS.</w:t>
            </w:r>
          </w:p>
          <w:p>
            <w:pPr>
              <w:spacing w:after="160"/>
            </w:pPr>
            <w:r>
              <w:rPr>
                <w:rStyle w:val="row-content-rich-text"/>
              </w:rPr>
              <w:t xml:space="preserve">ABS 2016b. Census Dictionary, 2016. ABS Cat. no. 2901.0. Canberra: ABS.</w:t>
            </w:r>
          </w:p>
          <w:p>
            <w:pPr/>
            <w:r>
              <w:rPr>
                <w:rStyle w:val="row-content-rich-text"/>
              </w:rPr>
              <w:t xml:space="preserve">ABS 2017b. ABS Understanding the Census and Census Data, Australia, 2016. ABS Cat. no. 2900.0.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5dd3a24a4f4c1a">
              <w:r>
                <w:rPr>
                  <w:rStyle w:val="Hyperlink"/>
                </w:rPr>
                <w:t xml:space="preserve">National Indigenous Reform Agreement: PI 15a-Proportion of Indigenous 20-64 year olds with or working towards a post-school qualification in Certificate level III or above, (Census data) 2018; Quality Statement</w:t>
              </w:r>
            </w:hyperlink>
          </w:p>
          <w:p>
            <w:pPr>
              <w:pStyle w:val="registration-status"/>
              <w:spacing w:before="0" w:after="0"/>
            </w:pPr>
            <w:hyperlink w:history="true" r:id="Rf5dd67edb1d04c50">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819b62dd56f345e5">
              <w:r>
                <w:rPr>
                  <w:rStyle w:val="Hyperlink"/>
                </w:rPr>
                <w:t xml:space="preserve">National Indigenous Reform Agreement: PI 15a-Proportion of Indigenous 20-64 year olds with or working towards a post-school qualification in Certificate level III or above, (Census data) 2020; Quality Statement</w:t>
              </w:r>
            </w:hyperlink>
          </w:p>
          <w:p>
            <w:pPr>
              <w:pStyle w:val="registration-status"/>
              <w:spacing w:before="0" w:after="0"/>
            </w:pPr>
            <w:hyperlink w:history="true" r:id="R7a39a5916e7f4dcf">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a02a29b86f7459f">
              <w:r>
                <w:rPr>
                  <w:rStyle w:val="Hyperlink"/>
                </w:rPr>
                <w:t xml:space="preserve">National Indigenous Reform Agreement: PI 15a-Proportion of Indigenous 20–64 year olds with or working towards a post-school qualification in Certificate level III or above (Census data), 2019</w:t>
              </w:r>
            </w:hyperlink>
          </w:p>
          <w:p>
            <w:pPr>
              <w:pStyle w:val="registration-status"/>
              <w:spacing w:before="0" w:after="0"/>
            </w:pPr>
            <w:hyperlink w:history="true" r:id="Rd292d98022ce4420">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220f337e2cc645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fd28ed644448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0f337e2cc6459b" /><Relationship Type="http://schemas.openxmlformats.org/officeDocument/2006/relationships/header" Target="/word/header1.xml" Id="R7f8a1c75a05941d1" /><Relationship Type="http://schemas.openxmlformats.org/officeDocument/2006/relationships/settings" Target="/word/settings.xml" Id="R793bbace96094fb0" /><Relationship Type="http://schemas.openxmlformats.org/officeDocument/2006/relationships/styles" Target="/word/styles.xml" Id="Rf6276f0806234683" /><Relationship Type="http://schemas.openxmlformats.org/officeDocument/2006/relationships/hyperlink" Target="https://meteor.aihw.gov.au/RegistrationAuthority/6" TargetMode="External" Id="R8e90aabbe0964233" /><Relationship Type="http://schemas.openxmlformats.org/officeDocument/2006/relationships/hyperlink" Target="http://www.abs.gov.au/websitedbs/D3310114.nsf/4a256353001af3ed4b2562bb00121564/10ca14cb967e5b83ca2573ae00197b65!OpenDocument" TargetMode="External" Id="R741a71f73fe04372" /><Relationship Type="http://schemas.openxmlformats.org/officeDocument/2006/relationships/hyperlink" Target="http://www.abs.gov.au/websitedbs/D3310114.nsf/Home/Census?OpenDocument&amp;ref=topBar" TargetMode="External" Id="Rbcbad068f13d4b37" /><Relationship Type="http://schemas.openxmlformats.org/officeDocument/2006/relationships/hyperlink" Target="mailto:client.services@abs.gov.au" TargetMode="External" Id="R57900cd0f2004f62" /><Relationship Type="http://schemas.openxmlformats.org/officeDocument/2006/relationships/hyperlink" Target="http://www.abs.gov.au/ausstats/abs@.nsf/Lookup/by Subject/2900.0~2016~Main Features~Understanding the Census and Census Data~1" TargetMode="External" Id="R78d9913f83684c65" /><Relationship Type="http://schemas.openxmlformats.org/officeDocument/2006/relationships/hyperlink" Target="http://www.abs.gov.au/ausstats/abs@.nsf/Lookup/by Subject/2900.0~2016~Main Features~Understanding Census data quality~4" TargetMode="External" Id="Rf6f1f7f85fde4475" /><Relationship Type="http://schemas.openxmlformats.org/officeDocument/2006/relationships/hyperlink" Target="http://www.abs.gov.au/ausstats/abs@.nsf/Lookup/by Subject/2900.0~2016~Main Features~Item non-response~10036" TargetMode="External" Id="R5a6056ad1beb4046" /><Relationship Type="http://schemas.openxmlformats.org/officeDocument/2006/relationships/hyperlink" Target="https://meteor.aihw.gov.au/content/689611" TargetMode="External" Id="Rd85dd3a24a4f4c1a" /><Relationship Type="http://schemas.openxmlformats.org/officeDocument/2006/relationships/hyperlink" Target="https://meteor.aihw.gov.au/RegistrationAuthority/6" TargetMode="External" Id="Rf5dd67edb1d04c50" /><Relationship Type="http://schemas.openxmlformats.org/officeDocument/2006/relationships/hyperlink" Target="https://meteor.aihw.gov.au/content/726278" TargetMode="External" Id="R819b62dd56f345e5" /><Relationship Type="http://schemas.openxmlformats.org/officeDocument/2006/relationships/hyperlink" Target="https://meteor.aihw.gov.au/RegistrationAuthority/6" TargetMode="External" Id="R7a39a5916e7f4dcf" /><Relationship Type="http://schemas.openxmlformats.org/officeDocument/2006/relationships/hyperlink" Target="https://meteor.aihw.gov.au/content/699476" TargetMode="External" Id="R2a02a29b86f7459f" /><Relationship Type="http://schemas.openxmlformats.org/officeDocument/2006/relationships/hyperlink" Target="https://meteor.aihw.gov.au/RegistrationAuthority/6" TargetMode="External" Id="Rd292d98022ce4420" /></Relationships>
</file>

<file path=word/_rels/header1.xml.rels>&#65279;<?xml version="1.0" encoding="utf-8"?><Relationships xmlns="http://schemas.openxmlformats.org/package/2006/relationships"><Relationship Type="http://schemas.openxmlformats.org/officeDocument/2006/relationships/image" Target="/media/image.png" Id="Rbffd28ed6444484a" /></Relationships>
</file>