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c59c897f2a448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opioid medicines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opioid medicines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a517e807047de">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opioid medicines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opioid medicines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57426d90624ba7">
              <w:r>
                <w:rPr>
                  <w:rStyle w:val="Hyperlink"/>
                </w:rPr>
                <w:t xml:space="preserve">Australian Atlas of Healthcare Variation 2018</w:t>
              </w:r>
            </w:hyperlink>
          </w:p>
          <w:p>
            <w:pPr>
              <w:pStyle w:val="registration-status"/>
              <w:spacing w:before="0" w:after="0"/>
            </w:pPr>
            <w:hyperlink w:history="true" r:id="R0c678d6eb79a46dd">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200" w:type="pct"/>
                  <w:vAlign w:val="top"/>
                </w:tcPr>
                <w:p>
                  <w:pPr/>
                  <w:r>
                    <w:rPr>
                      <w:rStyle w:val="row-content-rich-text"/>
                      <w:b/>
                    </w:rPr>
                    <w:t xml:space="preserve">Anatomical</w:t>
                  </w:r>
                  <w:r>
                    <w:rPr>
                      <w:rStyle w:val="row-content-rich-text"/>
                      <w:b/>
                    </w:rPr>
                    <w:t xml:space="preserve"> Therapeutic Chemical (</w:t>
                  </w:r>
                  <w:r>
                    <w:rPr>
                      <w:rStyle w:val="row-content-rich-text"/>
                      <w:b/>
                    </w:rPr>
                    <w:t xml:space="preserve">ATC) Code</w:t>
                  </w:r>
                </w:p>
              </w:tc>
              <w:tc>
                <w:tcPr>
                  <w:tcW w:w="300" w:type="pct"/>
                  <w:vAlign w:val="top"/>
                </w:tcPr>
                <w:p>
                  <w:r>
                    <w:rPr>
                      <w:b/>
                    </w:rPr>
                    <w:t xml:space="preserve">Description (Drug Name)</w:t>
                  </w:r>
                </w:p>
              </w:tc>
              <w:tc>
                <w:tcPr>
                  <w:tcW w:w="2400" w:type="pct"/>
                  <w:vAlign w:val="top"/>
                </w:tcPr>
                <w:p>
                  <w:r>
                    <w:rPr>
                      <w:b/>
                    </w:rPr>
                    <w:t xml:space="preserve">PBS code (Item Code)</w:t>
                  </w:r>
                </w:p>
              </w:tc>
              <w:tc>
                <w:tcPr>
                  <w:tcW w:w="2000" w:type="pct"/>
                  <w:vAlign w:val="top"/>
                </w:tcPr>
                <w:p>
                  <w:r>
                    <w:rPr>
                      <w:b/>
                    </w:rPr>
                    <w:t xml:space="preserve">Comments</w:t>
                  </w:r>
                </w:p>
              </w:tc>
            </w:tr>
            <w:tr>
              <w:trPr/>
              <w:tc>
                <w:tcPr>
                  <w:tcW w:w="200" w:type="pct"/>
                  <w:vMerge w:val="restart"/>
                  <w:vAlign w:val="top"/>
                </w:tcPr>
                <w:p>
                  <w:r>
                    <w:t xml:space="preserve">N02A</w:t>
                  </w:r>
                </w:p>
              </w:tc>
              <w:tc>
                <w:tcPr>
                  <w:tcW w:w="300" w:type="pct"/>
                  <w:vAlign w:val="top"/>
                </w:tcPr>
                <w:p>
                  <w:r>
                    <w:t xml:space="preserve">ASPIRIN + CODEINE</w:t>
                  </w:r>
                </w:p>
              </w:tc>
              <w:tc>
                <w:tcPr>
                  <w:tcW w:w="2400" w:type="pct"/>
                  <w:vAlign w:val="top"/>
                </w:tcPr>
                <w:p>
                  <w:r>
                    <w:t xml:space="preserve">04286N</w:t>
                  </w:r>
                </w:p>
              </w:tc>
              <w:tc>
                <w:tcPr>
                  <w:tcW w:w="2000" w:type="pct"/>
                  <w:vAlign w:val="top"/>
                </w:tcPr>
                <w:p>
                  <w:r>
                    <w:t xml:space="preserve">RPBS. Not included in the specifications used for the Atlas 2015. </w:t>
                  </w:r>
                </w:p>
              </w:tc>
            </w:tr>
            <w:tr>
              <w:trPr/>
              <w:tc>
                <w:tcPr>
                  <w:tcW w:w="200" w:type="pct"/>
                  <w:vMerge/>
                </w:tcPr>
                <w:p/>
              </w:tc>
              <w:tc>
                <w:tcPr>
                  <w:tcW w:w="300" w:type="pct"/>
                  <w:vAlign w:val="top"/>
                </w:tcPr>
                <w:p>
                  <w:r>
                    <w:t xml:space="preserve">BUPRENORPHINE</w:t>
                  </w:r>
                </w:p>
              </w:tc>
              <w:tc>
                <w:tcPr>
                  <w:tcW w:w="2400" w:type="pct"/>
                  <w:vAlign w:val="top"/>
                </w:tcPr>
                <w:p>
                  <w:r>
                    <w:t xml:space="preserve">08865N, </w:t>
                  </w:r>
                </w:p>
                <w:p>
                  <w:r>
                    <w:t xml:space="preserve">08866P, </w:t>
                  </w:r>
                </w:p>
                <w:p>
                  <w:r>
                    <w:t xml:space="preserve">08867Q, </w:t>
                  </w:r>
                </w:p>
                <w:p>
                  <w:r>
                    <w:t xml:space="preserve">10746N, </w:t>
                  </w:r>
                </w:p>
                <w:p>
                  <w:r>
                    <w:t xml:space="preserve">10755C, </w:t>
                  </w:r>
                </w:p>
                <w:p>
                  <w:r>
                    <w:t xml:space="preserve">10756D, 10770W, </w:t>
                  </w:r>
                </w:p>
                <w:p>
                  <w:r>
                    <w:t xml:space="preserve">10948F, </w:t>
                  </w:r>
                </w:p>
                <w:p>
                  <w:r>
                    <w:t xml:space="preserve">10949G, </w:t>
                  </w:r>
                </w:p>
                <w:p>
                  <w:r>
                    <w:t xml:space="preserve">10953L, </w:t>
                  </w:r>
                </w:p>
                <w:p>
                  <w:r>
                    <w:t xml:space="preserve">10957Q, </w:t>
                  </w:r>
                </w:p>
                <w:p>
                  <w:r>
                    <w:t xml:space="preserve">10959T, </w:t>
                  </w:r>
                </w:p>
                <w:p>
                  <w:r>
                    <w:t xml:space="preserve">10964C, </w:t>
                  </w:r>
                </w:p>
                <w:p>
                  <w:r>
                    <w:t xml:space="preserve">10970J</w:t>
                  </w:r>
                </w:p>
              </w:tc>
              <w:tc>
                <w:tcPr>
                  <w:tcW w:w="2000" w:type="pct"/>
                  <w:vAlign w:val="top"/>
                </w:tcPr>
                <w:p>
                  <w:r>
                    <w:t xml:space="preserve">10746N, 10755C, 10756D, 10770W (Listed from 1 May 2016) </w:t>
                  </w:r>
                </w:p>
                <w:p>
                  <w:r>
                    <w:t xml:space="preserve">10948F, 10949G, </w:t>
                  </w:r>
                </w:p>
                <w:p>
                  <w:r>
                    <w:t xml:space="preserve">10953L, 10957Q, </w:t>
                  </w:r>
                </w:p>
                <w:p>
                  <w:r>
                    <w:t xml:space="preserve">10959T, 10964C, </w:t>
                  </w:r>
                </w:p>
                <w:p>
                  <w:r>
                    <w:t xml:space="preserve">10970J (Palliative care items, listed from 1 Dec 2016 onwards)</w:t>
                  </w:r>
                </w:p>
              </w:tc>
            </w:tr>
            <w:tr>
              <w:trPr/>
              <w:tc>
                <w:tcPr>
                  <w:tcW w:w="200" w:type="pct"/>
                  <w:vMerge/>
                </w:tcPr>
                <w:p/>
              </w:tc>
              <w:tc>
                <w:tcPr>
                  <w:tcW w:w="300" w:type="pct"/>
                  <w:vAlign w:val="top"/>
                </w:tcPr>
                <w:p>
                  <w:r>
                    <w:t xml:space="preserve">CODEINE</w:t>
                  </w:r>
                </w:p>
              </w:tc>
              <w:tc>
                <w:tcPr>
                  <w:tcW w:w="2400" w:type="pct"/>
                  <w:vAlign w:val="top"/>
                </w:tcPr>
                <w:p>
                  <w:r>
                    <w:t xml:space="preserve">05063L</w:t>
                  </w:r>
                </w:p>
              </w:tc>
              <w:tc>
                <w:tcPr>
                  <w:tcW w:w="2000" w:type="pct"/>
                  <w:vAlign w:val="top"/>
                </w:tcPr>
                <w:p>
                  <w:r>
                    <w:t xml:space="preserve">05063L is a dental code </w:t>
                  </w:r>
                </w:p>
              </w:tc>
            </w:tr>
            <w:tr>
              <w:trPr/>
              <w:tc>
                <w:tcPr>
                  <w:tcW w:w="200" w:type="pct"/>
                  <w:vMerge/>
                </w:tcPr>
                <w:p/>
              </w:tc>
              <w:tc>
                <w:tcPr>
                  <w:tcW w:w="300" w:type="pct"/>
                  <w:vAlign w:val="top"/>
                </w:tcPr>
                <w:p>
                  <w:r>
                    <w:t xml:space="preserve">FENTANYL</w:t>
                  </w:r>
                </w:p>
              </w:tc>
              <w:tc>
                <w:tcPr>
                  <w:tcW w:w="2400" w:type="pct"/>
                  <w:vAlign w:val="top"/>
                </w:tcPr>
                <w:p>
                  <w:r>
                    <w:t xml:space="preserve">05265D, </w:t>
                  </w:r>
                </w:p>
                <w:p>
                  <w:r>
                    <w:t xml:space="preserve">05277R, </w:t>
                  </w:r>
                </w:p>
                <w:p>
                  <w:r>
                    <w:t xml:space="preserve">05278T, </w:t>
                  </w:r>
                </w:p>
                <w:p>
                  <w:r>
                    <w:t xml:space="preserve">05279W, 05280X, </w:t>
                  </w:r>
                </w:p>
                <w:p>
                  <w:r>
                    <w:t xml:space="preserve">05401G, </w:t>
                  </w:r>
                </w:p>
                <w:p>
                  <w:r>
                    <w:t xml:space="preserve">05402H, </w:t>
                  </w:r>
                </w:p>
                <w:p>
                  <w:r>
                    <w:t xml:space="preserve">05403J, </w:t>
                  </w:r>
                </w:p>
                <w:p>
                  <w:r>
                    <w:t xml:space="preserve">05404K, </w:t>
                  </w:r>
                </w:p>
                <w:p>
                  <w:r>
                    <w:t xml:space="preserve">05405L, </w:t>
                  </w:r>
                </w:p>
                <w:p>
                  <w:r>
                    <w:t xml:space="preserve">05406M, 05407N, </w:t>
                  </w:r>
                </w:p>
                <w:p>
                  <w:r>
                    <w:t xml:space="preserve">05408P, </w:t>
                  </w:r>
                </w:p>
                <w:p>
                  <w:r>
                    <w:t xml:space="preserve">05409Q, </w:t>
                  </w:r>
                </w:p>
                <w:p>
                  <w:r>
                    <w:t xml:space="preserve">05410R, </w:t>
                  </w:r>
                </w:p>
                <w:p>
                  <w:r>
                    <w:t xml:space="preserve">05411T, </w:t>
                  </w:r>
                </w:p>
                <w:p>
                  <w:r>
                    <w:t xml:space="preserve">05412W, </w:t>
                  </w:r>
                </w:p>
                <w:p>
                  <w:r>
                    <w:t xml:space="preserve">05437E, </w:t>
                  </w:r>
                </w:p>
                <w:p>
                  <w:r>
                    <w:t xml:space="preserve">05438F, </w:t>
                  </w:r>
                </w:p>
                <w:p>
                  <w:r>
                    <w:t xml:space="preserve">05439G, </w:t>
                  </w:r>
                </w:p>
                <w:p>
                  <w:r>
                    <w:t xml:space="preserve">05440H, </w:t>
                  </w:r>
                </w:p>
                <w:p>
                  <w:r>
                    <w:t xml:space="preserve">05441J, </w:t>
                  </w:r>
                </w:p>
                <w:p>
                  <w:r>
                    <w:t xml:space="preserve">08878G, </w:t>
                  </w:r>
                </w:p>
                <w:p>
                  <w:r>
                    <w:t xml:space="preserve">08891Y, </w:t>
                  </w:r>
                </w:p>
                <w:p>
                  <w:r>
                    <w:t xml:space="preserve">08892B, </w:t>
                  </w:r>
                </w:p>
                <w:p>
                  <w:r>
                    <w:t xml:space="preserve">08893C, </w:t>
                  </w:r>
                </w:p>
                <w:p>
                  <w:r>
                    <w:t xml:space="preserve">08894D, </w:t>
                  </w:r>
                </w:p>
                <w:p>
                  <w:r>
                    <w:t xml:space="preserve">10600X, </w:t>
                  </w:r>
                </w:p>
                <w:p>
                  <w:r>
                    <w:t xml:space="preserve">10601Y, </w:t>
                  </w:r>
                </w:p>
                <w:p>
                  <w:r>
                    <w:t xml:space="preserve">10602B, </w:t>
                  </w:r>
                </w:p>
                <w:p>
                  <w:r>
                    <w:t xml:space="preserve">10603C, </w:t>
                  </w:r>
                </w:p>
                <w:p>
                  <w:r>
                    <w:t xml:space="preserve">10604D, </w:t>
                  </w:r>
                </w:p>
                <w:p>
                  <w:r>
                    <w:t xml:space="preserve">10606F, </w:t>
                  </w:r>
                </w:p>
                <w:p>
                  <w:r>
                    <w:t xml:space="preserve">10607G, </w:t>
                  </w:r>
                </w:p>
                <w:p>
                  <w:r>
                    <w:t xml:space="preserve">10608H, </w:t>
                  </w:r>
                </w:p>
                <w:p>
                  <w:r>
                    <w:t xml:space="preserve">10610K, </w:t>
                  </w:r>
                </w:p>
                <w:p>
                  <w:r>
                    <w:t xml:space="preserve">10611L, </w:t>
                  </w:r>
                </w:p>
                <w:p>
                  <w:r>
                    <w:t xml:space="preserve">10612M, 10613N, 10684H, </w:t>
                  </w:r>
                </w:p>
                <w:p>
                  <w:r>
                    <w:t xml:space="preserve">10697B, </w:t>
                  </w:r>
                </w:p>
                <w:p>
                  <w:r>
                    <w:t xml:space="preserve">10698C, 10713W, 10722H, </w:t>
                  </w:r>
                </w:p>
                <w:p>
                  <w:r>
                    <w:t xml:space="preserve">10723J, </w:t>
                  </w:r>
                </w:p>
                <w:p>
                  <w:r>
                    <w:t xml:space="preserve">10729Q, </w:t>
                  </w:r>
                </w:p>
                <w:p>
                  <w:r>
                    <w:t xml:space="preserve">10737D, </w:t>
                  </w:r>
                </w:p>
                <w:p>
                  <w:r>
                    <w:t xml:space="preserve">10738E, </w:t>
                  </w:r>
                </w:p>
                <w:p>
                  <w:r>
                    <w:t xml:space="preserve">10739F</w:t>
                  </w:r>
                </w:p>
              </w:tc>
              <w:tc>
                <w:tcPr>
                  <w:tcW w:w="2000" w:type="pct"/>
                  <w:vAlign w:val="top"/>
                </w:tcPr>
                <w:p>
                  <w:r>
                    <w:t xml:space="preserve">10600X, 10601Y, 10602B, 10603C, 10604D, 10606F, 10607G, 10608H, 10610K, 10611L, 10612M, 10613N</w:t>
                  </w:r>
                </w:p>
                <w:p>
                  <w:r>
                    <w:t xml:space="preserve">(Palliative care items, listed from 1 Feb 2016 onwards)</w:t>
                  </w:r>
                </w:p>
                <w:p>
                  <w:r>
                    <w:t xml:space="preserve">10684H, 10697B,</w:t>
                  </w:r>
                </w:p>
                <w:p>
                  <w:r>
                    <w:t xml:space="preserve">10698C, 10713W, 10722H, 10723J, 10729Q, 10737D, 10738E, 10739F</w:t>
                  </w:r>
                </w:p>
                <w:p>
                  <w:r>
                    <w:t xml:space="preserve">(Palliative care items, listed from 1 Apr 2016 onwards)</w:t>
                  </w:r>
                </w:p>
              </w:tc>
            </w:tr>
            <w:tr>
              <w:trPr/>
              <w:tc>
                <w:tcPr>
                  <w:tcW w:w="200" w:type="pct"/>
                  <w:vMerge/>
                </w:tcPr>
                <w:p/>
              </w:tc>
              <w:tc>
                <w:tcPr>
                  <w:tcW w:w="300" w:type="pct"/>
                  <w:vAlign w:val="top"/>
                </w:tcPr>
                <w:p>
                  <w:r>
                    <w:t xml:space="preserve">HYDROMORPHONE</w:t>
                  </w:r>
                </w:p>
              </w:tc>
              <w:tc>
                <w:tcPr>
                  <w:tcW w:w="2400" w:type="pct"/>
                  <w:vAlign w:val="top"/>
                </w:tcPr>
                <w:p>
                  <w:r>
                    <w:t xml:space="preserve">05115F, </w:t>
                  </w:r>
                </w:p>
                <w:p>
                  <w:r>
                    <w:t xml:space="preserve">05116G, </w:t>
                  </w:r>
                </w:p>
                <w:p>
                  <w:r>
                    <w:t xml:space="preserve">05117H, 05132D,  </w:t>
                  </w:r>
                </w:p>
                <w:p>
                  <w:r>
                    <w:t xml:space="preserve">08420E, 08421F, 08422G, 08423H, 08424J, 08541M, 08542N, 08543P, 09299K, 09406C, 09407D, 09408E, 09409F</w:t>
                  </w:r>
                </w:p>
              </w:tc>
              <w:tc>
                <w:tcPr>
                  <w:tcW w:w="2000" w:type="pct"/>
                  <w:vAlign w:val="top"/>
                </w:tcPr>
                <w:p>
                  <w:r>
                    <w:t xml:space="preserve">08423H (Listed 1 Aug 2007 – 31 Aug 2016)</w:t>
                  </w:r>
                </w:p>
              </w:tc>
            </w:tr>
            <w:tr>
              <w:trPr/>
              <w:tc>
                <w:tcPr>
                  <w:tcW w:w="200" w:type="pct"/>
                  <w:vMerge/>
                </w:tcPr>
                <w:p/>
              </w:tc>
              <w:tc>
                <w:tcPr>
                  <w:tcW w:w="300" w:type="pct"/>
                  <w:vAlign w:val="top"/>
                </w:tcPr>
                <w:p>
                  <w:r>
                    <w:t xml:space="preserve">METHADONE</w:t>
                  </w:r>
                </w:p>
              </w:tc>
              <w:tc>
                <w:tcPr>
                  <w:tcW w:w="2400" w:type="pct"/>
                  <w:vAlign w:val="top"/>
                </w:tcPr>
                <w:p>
                  <w:r>
                    <w:t xml:space="preserve">01606M, 01609Q, </w:t>
                  </w:r>
                </w:p>
                <w:p>
                  <w:r>
                    <w:t xml:space="preserve">05399E, </w:t>
                  </w:r>
                </w:p>
                <w:p>
                  <w:r>
                    <w:t xml:space="preserve">05400F </w:t>
                  </w:r>
                </w:p>
              </w:tc>
              <w:tc>
                <w:tcPr>
                  <w:tcW w:w="2000" w:type="pct"/>
                  <w:vAlign w:val="top"/>
                </w:tcPr>
                <w:p>
                  <w:r>
                    <w:t xml:space="preserve">05399E, 05400F (Palliative care items)</w:t>
                  </w:r>
                </w:p>
              </w:tc>
            </w:tr>
            <w:tr>
              <w:trPr/>
              <w:tc>
                <w:tcPr>
                  <w:tcW w:w="200" w:type="pct"/>
                  <w:vMerge/>
                </w:tcPr>
                <w:p/>
              </w:tc>
              <w:tc>
                <w:tcPr>
                  <w:tcW w:w="300" w:type="pct"/>
                  <w:vAlign w:val="top"/>
                </w:tcPr>
                <w:p>
                  <w:r>
                    <w:t xml:space="preserve">MORPHINE</w:t>
                  </w:r>
                </w:p>
              </w:tc>
              <w:tc>
                <w:tcPr>
                  <w:tcW w:w="2400" w:type="pct"/>
                  <w:vAlign w:val="top"/>
                </w:tcPr>
                <w:p>
                  <w:r>
                    <w:t xml:space="preserve">01607N, 01644M, 01645N, </w:t>
                  </w:r>
                </w:p>
                <w:p>
                  <w:r>
                    <w:t xml:space="preserve">01646P, </w:t>
                  </w:r>
                </w:p>
                <w:p>
                  <w:r>
                    <w:t xml:space="preserve">01647Q, </w:t>
                  </w:r>
                </w:p>
                <w:p>
                  <w:r>
                    <w:t xml:space="preserve">01653B, </w:t>
                  </w:r>
                </w:p>
                <w:p>
                  <w:r>
                    <w:t xml:space="preserve">01654C, </w:t>
                  </w:r>
                </w:p>
                <w:p>
                  <w:r>
                    <w:t xml:space="preserve">01655D, </w:t>
                  </w:r>
                </w:p>
                <w:p>
                  <w:r>
                    <w:t xml:space="preserve">01656E, </w:t>
                  </w:r>
                </w:p>
                <w:p>
                  <w:r>
                    <w:t xml:space="preserve">02122Q, </w:t>
                  </w:r>
                </w:p>
                <w:p>
                  <w:r>
                    <w:t xml:space="preserve">02123R, </w:t>
                  </w:r>
                </w:p>
                <w:p>
                  <w:r>
                    <w:t xml:space="preserve">02124T, </w:t>
                  </w:r>
                </w:p>
                <w:p>
                  <w:r>
                    <w:t xml:space="preserve">02839K, </w:t>
                  </w:r>
                </w:p>
                <w:p>
                  <w:r>
                    <w:t xml:space="preserve">02840L, </w:t>
                  </w:r>
                </w:p>
                <w:p>
                  <w:r>
                    <w:t xml:space="preserve">02841M, 03479D, </w:t>
                  </w:r>
                </w:p>
                <w:p>
                  <w:r>
                    <w:t xml:space="preserve">03480E, </w:t>
                  </w:r>
                </w:p>
                <w:p>
                  <w:r>
                    <w:t xml:space="preserve">04349X, </w:t>
                  </w:r>
                </w:p>
                <w:p>
                  <w:r>
                    <w:t xml:space="preserve">05163R, </w:t>
                  </w:r>
                </w:p>
                <w:p>
                  <w:r>
                    <w:t xml:space="preserve">05168B, </w:t>
                  </w:r>
                </w:p>
                <w:p>
                  <w:r>
                    <w:t xml:space="preserve">05169C, </w:t>
                  </w:r>
                </w:p>
                <w:p>
                  <w:r>
                    <w:t xml:space="preserve">05170D, </w:t>
                  </w:r>
                </w:p>
                <w:p>
                  <w:r>
                    <w:t xml:space="preserve">05237P, </w:t>
                  </w:r>
                </w:p>
                <w:p>
                  <w:r>
                    <w:t xml:space="preserve">05238Q, </w:t>
                  </w:r>
                </w:p>
                <w:p>
                  <w:r>
                    <w:t xml:space="preserve">05239R, </w:t>
                  </w:r>
                </w:p>
                <w:p>
                  <w:r>
                    <w:t xml:space="preserve">05391R, </w:t>
                  </w:r>
                </w:p>
                <w:p>
                  <w:r>
                    <w:t xml:space="preserve">05392T, </w:t>
                  </w:r>
                </w:p>
                <w:p>
                  <w:r>
                    <w:t xml:space="preserve">05393W, 05394X, </w:t>
                  </w:r>
                </w:p>
                <w:p>
                  <w:r>
                    <w:t xml:space="preserve">05395Y, </w:t>
                  </w:r>
                </w:p>
                <w:p>
                  <w:r>
                    <w:t xml:space="preserve">05396B, </w:t>
                  </w:r>
                </w:p>
                <w:p>
                  <w:r>
                    <w:t xml:space="preserve">08035X, </w:t>
                  </w:r>
                </w:p>
                <w:p>
                  <w:r>
                    <w:t xml:space="preserve">08146R, </w:t>
                  </w:r>
                </w:p>
                <w:p>
                  <w:r>
                    <w:t xml:space="preserve">08305D, </w:t>
                  </w:r>
                </w:p>
                <w:p>
                  <w:r>
                    <w:t xml:space="preserve">08306E, </w:t>
                  </w:r>
                </w:p>
                <w:p>
                  <w:r>
                    <w:t xml:space="preserve">08349K, </w:t>
                  </w:r>
                </w:p>
                <w:p>
                  <w:r>
                    <w:t xml:space="preserve">08453X, </w:t>
                  </w:r>
                </w:p>
                <w:p>
                  <w:r>
                    <w:t xml:space="preserve">08454Y, </w:t>
                  </w:r>
                </w:p>
                <w:p>
                  <w:r>
                    <w:t xml:space="preserve">08489T, </w:t>
                  </w:r>
                </w:p>
                <w:p>
                  <w:r>
                    <w:t xml:space="preserve">08490W, 08491X, </w:t>
                  </w:r>
                </w:p>
                <w:p>
                  <w:r>
                    <w:t xml:space="preserve">08492Y, </w:t>
                  </w:r>
                </w:p>
                <w:p>
                  <w:r>
                    <w:t xml:space="preserve">08493B, </w:t>
                  </w:r>
                </w:p>
                <w:p>
                  <w:r>
                    <w:t xml:space="preserve">08494C, </w:t>
                  </w:r>
                </w:p>
                <w:p>
                  <w:r>
                    <w:t xml:space="preserve">08669G, </w:t>
                  </w:r>
                </w:p>
                <w:p>
                  <w:r>
                    <w:t xml:space="preserve">08670H, </w:t>
                  </w:r>
                </w:p>
                <w:p>
                  <w:r>
                    <w:t xml:space="preserve">10858L, </w:t>
                  </w:r>
                </w:p>
                <w:p>
                  <w:r>
                    <w:t xml:space="preserve">10862Q, </w:t>
                  </w:r>
                </w:p>
                <w:p>
                  <w:r>
                    <w:t xml:space="preserve">10863R, </w:t>
                  </w:r>
                </w:p>
                <w:p>
                  <w:r>
                    <w:t xml:space="preserve">10864T, </w:t>
                  </w:r>
                </w:p>
                <w:p>
                  <w:r>
                    <w:t xml:space="preserve">10868B, </w:t>
                  </w:r>
                </w:p>
                <w:p>
                  <w:r>
                    <w:t xml:space="preserve">10869C, </w:t>
                  </w:r>
                </w:p>
                <w:p>
                  <w:r>
                    <w:t xml:space="preserve">10874H, </w:t>
                  </w:r>
                </w:p>
                <w:p>
                  <w:r>
                    <w:t xml:space="preserve">10878M </w:t>
                  </w:r>
                </w:p>
              </w:tc>
              <w:tc>
                <w:tcPr>
                  <w:tcW w:w="2000" w:type="pct"/>
                  <w:vAlign w:val="top"/>
                </w:tcPr>
                <w:p>
                  <w:r>
                    <w:t xml:space="preserve">05391R, 05392T, 05393W, 05394X, 05395Y, 05396B (Palliative care items)</w:t>
                  </w:r>
                </w:p>
                <w:p>
                  <w:r>
                    <w:t xml:space="preserve">05163R, 05168B, 05169C, 05170D, 05237P, 05238Q,</w:t>
                  </w:r>
                </w:p>
                <w:p>
                  <w:r>
                    <w:t xml:space="preserve">05239R, 10858L,</w:t>
                  </w:r>
                </w:p>
                <w:p>
                  <w:r>
                    <w:t xml:space="preserve">10863R are dental codes.</w:t>
                  </w:r>
                </w:p>
                <w:p>
                  <w:r>
                    <w:t xml:space="preserve">04349X (RPBS)</w:t>
                  </w:r>
                </w:p>
                <w:p>
                  <w:r>
                    <w:t xml:space="preserve">05392T, 05395Y, 05396B (Listed until 31 May 2016)</w:t>
                  </w:r>
                </w:p>
                <w:p>
                  <w:r>
                    <w:t xml:space="preserve">10858L, 10862Q, 10863R, 10864T, 10868B, 10869C, 10874H, 10878M (Listed from 1 Aug 2016 onwards)</w:t>
                  </w:r>
                </w:p>
                <w:p>
                  <w:r>
                    <w:t xml:space="preserve"> </w:t>
                  </w:r>
                </w:p>
              </w:tc>
            </w:tr>
            <w:tr>
              <w:trPr/>
              <w:tc>
                <w:tcPr>
                  <w:tcW w:w="200" w:type="pct"/>
                  <w:vMerge/>
                </w:tcPr>
                <w:p/>
              </w:tc>
              <w:tc>
                <w:tcPr>
                  <w:tcW w:w="300" w:type="pct"/>
                  <w:vAlign w:val="top"/>
                </w:tcPr>
                <w:p>
                  <w:r>
                    <w:t xml:space="preserve">OXYCODONE</w:t>
                  </w:r>
                </w:p>
              </w:tc>
              <w:tc>
                <w:tcPr>
                  <w:tcW w:w="2400" w:type="pct"/>
                  <w:vAlign w:val="top"/>
                </w:tcPr>
                <w:p>
                  <w:r>
                    <w:t xml:space="preserve">02481N, </w:t>
                  </w:r>
                </w:p>
                <w:p>
                  <w:r>
                    <w:t xml:space="preserve">02622B, </w:t>
                  </w:r>
                </w:p>
                <w:p>
                  <w:r>
                    <w:t xml:space="preserve">05190E, </w:t>
                  </w:r>
                </w:p>
                <w:p>
                  <w:r>
                    <w:t xml:space="preserve">05191F, </w:t>
                  </w:r>
                </w:p>
                <w:p>
                  <w:r>
                    <w:t xml:space="preserve">05194J, </w:t>
                  </w:r>
                </w:p>
                <w:p>
                  <w:r>
                    <w:t xml:space="preserve">05195K,</w:t>
                  </w:r>
                </w:p>
                <w:p>
                  <w:r>
                    <w:t xml:space="preserve">05197M, 08385H, </w:t>
                  </w:r>
                </w:p>
                <w:p>
                  <w:r>
                    <w:t xml:space="preserve">08386J, </w:t>
                  </w:r>
                </w:p>
                <w:p>
                  <w:r>
                    <w:t xml:space="preserve">08387K, </w:t>
                  </w:r>
                </w:p>
                <w:p>
                  <w:r>
                    <w:t xml:space="preserve">08388L, </w:t>
                  </w:r>
                </w:p>
                <w:p>
                  <w:r>
                    <w:t xml:space="preserve">08464L, </w:t>
                  </w:r>
                </w:p>
                <w:p>
                  <w:r>
                    <w:t xml:space="preserve">08501K, </w:t>
                  </w:r>
                </w:p>
                <w:p>
                  <w:r>
                    <w:t xml:space="preserve">08502L, </w:t>
                  </w:r>
                </w:p>
                <w:p>
                  <w:r>
                    <w:t xml:space="preserve">08644Y, </w:t>
                  </w:r>
                </w:p>
                <w:p>
                  <w:r>
                    <w:t xml:space="preserve">09399Q, </w:t>
                  </w:r>
                </w:p>
                <w:p>
                  <w:r>
                    <w:t xml:space="preserve">09400R</w:t>
                  </w:r>
                </w:p>
              </w:tc>
              <w:tc>
                <w:tcPr>
                  <w:tcW w:w="2000" w:type="pct"/>
                  <w:vAlign w:val="top"/>
                </w:tcPr>
                <w:p>
                  <w:r>
                    <w:t xml:space="preserve"> </w:t>
                  </w:r>
                </w:p>
              </w:tc>
            </w:tr>
            <w:tr>
              <w:trPr/>
              <w:tc>
                <w:tcPr>
                  <w:tcW w:w="200" w:type="pct"/>
                  <w:vMerge/>
                </w:tcPr>
                <w:p/>
              </w:tc>
              <w:tc>
                <w:tcPr>
                  <w:tcW w:w="300" w:type="pct"/>
                  <w:vAlign w:val="top"/>
                </w:tcPr>
                <w:p>
                  <w:r>
                    <w:t xml:space="preserve">OXYCODONE + NALOXONE</w:t>
                  </w:r>
                </w:p>
              </w:tc>
              <w:tc>
                <w:tcPr>
                  <w:tcW w:w="2400" w:type="pct"/>
                  <w:vAlign w:val="top"/>
                </w:tcPr>
                <w:p>
                  <w:r>
                    <w:t xml:space="preserve">08000C, </w:t>
                  </w:r>
                </w:p>
                <w:p>
                  <w:r>
                    <w:t xml:space="preserve">08934F, </w:t>
                  </w:r>
                </w:p>
                <w:p>
                  <w:r>
                    <w:t xml:space="preserve">08935G, </w:t>
                  </w:r>
                </w:p>
                <w:p>
                  <w:r>
                    <w:t xml:space="preserve">08936H, </w:t>
                  </w:r>
                </w:p>
                <w:p>
                  <w:r>
                    <w:t xml:space="preserve">10757E, </w:t>
                  </w:r>
                </w:p>
                <w:p>
                  <w:r>
                    <w:t xml:space="preserve">10758F, </w:t>
                  </w:r>
                </w:p>
                <w:p>
                  <w:r>
                    <w:t xml:space="preserve">10776E, </w:t>
                  </w:r>
                </w:p>
                <w:p>
                  <w:r>
                    <w:t xml:space="preserve">11102H, </w:t>
                  </w:r>
                </w:p>
                <w:p>
                  <w:r>
                    <w:t xml:space="preserve">11111T</w:t>
                  </w:r>
                </w:p>
              </w:tc>
              <w:tc>
                <w:tcPr>
                  <w:tcW w:w="2000" w:type="pct"/>
                  <w:vAlign w:val="top"/>
                </w:tcPr>
                <w:p>
                  <w:r>
                    <w:t xml:space="preserve">10757E, 10758F, 10776E</w:t>
                  </w:r>
                </w:p>
                <w:p>
                  <w:r>
                    <w:t xml:space="preserve">(Listed from 1 May 2016 onwards)</w:t>
                  </w:r>
                </w:p>
                <w:p>
                  <w:r>
                    <w:t xml:space="preserve">11102H, 11111T (Listed from 1 May 2017 onwards)</w:t>
                  </w:r>
                </w:p>
              </w:tc>
            </w:tr>
            <w:tr>
              <w:trPr/>
              <w:tc>
                <w:tcPr>
                  <w:tcW w:w="200" w:type="pct"/>
                  <w:vMerge/>
                </w:tcPr>
                <w:p/>
              </w:tc>
              <w:tc>
                <w:tcPr>
                  <w:tcW w:w="300" w:type="pct"/>
                  <w:vAlign w:val="top"/>
                </w:tcPr>
                <w:p>
                  <w:r>
                    <w:t xml:space="preserve">PARACETAMOL + CODEINE</w:t>
                  </w:r>
                </w:p>
              </w:tc>
              <w:tc>
                <w:tcPr>
                  <w:tcW w:w="2400" w:type="pct"/>
                  <w:vAlign w:val="top"/>
                </w:tcPr>
                <w:p>
                  <w:r>
                    <w:t xml:space="preserve">01215Y, </w:t>
                  </w:r>
                </w:p>
                <w:p>
                  <w:r>
                    <w:t xml:space="preserve">03316M, </w:t>
                  </w:r>
                </w:p>
                <w:p>
                  <w:r>
                    <w:t xml:space="preserve">04170L, </w:t>
                  </w:r>
                </w:p>
                <w:p>
                  <w:r>
                    <w:t xml:space="preserve">04171M</w:t>
                  </w:r>
                </w:p>
                <w:p>
                  <w:r>
                    <w:t xml:space="preserve">04275B, </w:t>
                  </w:r>
                </w:p>
                <w:p>
                  <w:r>
                    <w:t xml:space="preserve">08785J, </w:t>
                  </w:r>
                </w:p>
                <w:p>
                  <w:r>
                    <w:t xml:space="preserve">10186D</w:t>
                  </w:r>
                </w:p>
              </w:tc>
              <w:tc>
                <w:tcPr>
                  <w:tcW w:w="2000" w:type="pct"/>
                  <w:vAlign w:val="top"/>
                </w:tcPr>
                <w:p>
                  <w:r>
                    <w:t xml:space="preserve">04170L, 04171M,</w:t>
                  </w:r>
                </w:p>
                <w:p>
                  <w:r>
                    <w:t xml:space="preserve">04275B, 10186D (RPBS)</w:t>
                  </w:r>
                </w:p>
                <w:p>
                  <w:r>
                    <w:t xml:space="preserve">10186D (Listed from 1 Dec 2014 onwards)</w:t>
                  </w:r>
                </w:p>
              </w:tc>
            </w:tr>
            <w:tr>
              <w:trPr/>
              <w:tc>
                <w:tcPr>
                  <w:tcW w:w="200" w:type="pct"/>
                  <w:vMerge/>
                </w:tcPr>
                <w:p/>
              </w:tc>
              <w:tc>
                <w:tcPr>
                  <w:tcW w:w="300" w:type="pct"/>
                  <w:vAlign w:val="top"/>
                </w:tcPr>
                <w:p>
                  <w:r>
                    <w:t xml:space="preserve">TAPENTADOL</w:t>
                  </w:r>
                </w:p>
              </w:tc>
              <w:tc>
                <w:tcPr>
                  <w:tcW w:w="2400" w:type="pct"/>
                  <w:vAlign w:val="top"/>
                </w:tcPr>
                <w:p>
                  <w:r>
                    <w:t xml:space="preserve">10091D, </w:t>
                  </w:r>
                </w:p>
                <w:p>
                  <w:r>
                    <w:t xml:space="preserve">10092E, </w:t>
                  </w:r>
                </w:p>
                <w:p>
                  <w:r>
                    <w:t xml:space="preserve">10094G, </w:t>
                  </w:r>
                </w:p>
                <w:p>
                  <w:r>
                    <w:t xml:space="preserve">10096J, </w:t>
                  </w:r>
                </w:p>
                <w:p>
                  <w:r>
                    <w:t xml:space="preserve">10100N</w:t>
                  </w:r>
                </w:p>
              </w:tc>
              <w:tc>
                <w:tcPr>
                  <w:tcW w:w="2000" w:type="pct"/>
                  <w:vAlign w:val="top"/>
                </w:tcPr>
                <w:p>
                  <w:r>
                    <w:t xml:space="preserve"> </w:t>
                  </w:r>
                </w:p>
              </w:tc>
            </w:tr>
            <w:tr>
              <w:trPr/>
              <w:tc>
                <w:tcPr>
                  <w:tcW w:w="200" w:type="pct"/>
                  <w:vMerge/>
                </w:tcPr>
                <w:p/>
              </w:tc>
              <w:tc>
                <w:tcPr>
                  <w:tcW w:w="300" w:type="pct"/>
                  <w:vAlign w:val="top"/>
                </w:tcPr>
                <w:p>
                  <w:r>
                    <w:t xml:space="preserve">TRAMADOL</w:t>
                  </w:r>
                </w:p>
              </w:tc>
              <w:tc>
                <w:tcPr>
                  <w:tcW w:w="2400" w:type="pct"/>
                  <w:vAlign w:val="top"/>
                </w:tcPr>
                <w:p>
                  <w:r>
                    <w:t xml:space="preserve">02527B, </w:t>
                  </w:r>
                </w:p>
                <w:p>
                  <w:r>
                    <w:t xml:space="preserve">03484J, </w:t>
                  </w:r>
                </w:p>
                <w:p>
                  <w:r>
                    <w:t xml:space="preserve">05150C, </w:t>
                  </w:r>
                </w:p>
                <w:p>
                  <w:r>
                    <w:t xml:space="preserve">05231H, </w:t>
                  </w:r>
                </w:p>
                <w:p>
                  <w:r>
                    <w:t xml:space="preserve">05232J, </w:t>
                  </w:r>
                </w:p>
                <w:p>
                  <w:r>
                    <w:t xml:space="preserve">08455B, </w:t>
                  </w:r>
                </w:p>
                <w:p>
                  <w:r>
                    <w:t xml:space="preserve">08523N, </w:t>
                  </w:r>
                </w:p>
                <w:p>
                  <w:r>
                    <w:t xml:space="preserve">08524P, </w:t>
                  </w:r>
                </w:p>
                <w:p>
                  <w:r>
                    <w:t xml:space="preserve">08525Q, </w:t>
                  </w:r>
                </w:p>
                <w:p>
                  <w:r>
                    <w:t xml:space="preserve">08582Q, </w:t>
                  </w:r>
                </w:p>
                <w:p>
                  <w:r>
                    <w:t xml:space="preserve">08611F, </w:t>
                  </w:r>
                </w:p>
                <w:p>
                  <w:r>
                    <w:t xml:space="preserve">08843K</w:t>
                  </w:r>
                </w:p>
              </w:tc>
              <w:tc>
                <w:tcPr>
                  <w:tcW w:w="2000" w:type="pct"/>
                  <w:vAlign w:val="top"/>
                </w:tcPr>
                <w:p>
                  <w:r>
                    <w:t xml:space="preserve"> </w:t>
                  </w:r>
                </w:p>
              </w:tc>
            </w:tr>
            <w:tr>
              <w:trPr/>
              <w:tc>
                <w:tcPr>
                  <w:tcW w:w="200" w:type="pct"/>
                  <w:vAlign w:val="top"/>
                </w:tcPr>
                <w:p>
                  <w:r>
                    <w:t xml:space="preserve">R05DA</w:t>
                  </w:r>
                </w:p>
              </w:tc>
              <w:tc>
                <w:tcPr>
                  <w:tcW w:w="300" w:type="pct"/>
                  <w:vAlign w:val="top"/>
                </w:tcPr>
                <w:p>
                  <w:r>
                    <w:t xml:space="preserve">CODEINE</w:t>
                  </w:r>
                </w:p>
              </w:tc>
              <w:tc>
                <w:tcPr>
                  <w:tcW w:w="2400" w:type="pct"/>
                  <w:vAlign w:val="top"/>
                </w:tcPr>
                <w:p>
                  <w:r>
                    <w:t xml:space="preserve">01214X,</w:t>
                  </w:r>
                </w:p>
                <w:p>
                  <w:r>
                    <w:t xml:space="preserve">07530H</w:t>
                  </w:r>
                </w:p>
              </w:tc>
              <w:tc>
                <w:tcPr>
                  <w:tcW w:w="2000" w:type="pct"/>
                  <w:vAlign w:val="top"/>
                </w:tcPr>
                <w:p>
                  <w:r>
                    <w:t xml:space="preserve"> </w:t>
                  </w:r>
                </w:p>
              </w:tc>
            </w:tr>
          </w:tbl>
          <w:p>
            <w:r>
              <w:t xml:space="preserve"> </w:t>
            </w:r>
          </w:p>
          <w:p>
            <w:r>
              <w:t xml:space="preserve">Note that </w:t>
            </w:r>
            <w:r>
              <w:rPr>
                <w:i/>
              </w:rPr>
              <w:t xml:space="preserve">drugs used in opioid dependence</w:t>
            </w:r>
            <w:r>
              <w:t xml:space="preserve"> (N07BC) are excluded. These drugs are not considered consistent with the intent of the indicator. Furthermore, data are not extracted for this ATC group.</w:t>
            </w:r>
          </w:p>
          <w:p>
            <w:r>
              <w:t xml:space="preserve">Presented as the following rates:</w:t>
            </w:r>
            <w:r>
              <w:t xml:space="preserve"> </w:t>
            </w:r>
          </w:p>
          <w:p>
            <w:r>
              <w:t xml:space="preserve">number of prescriptions per 100,000 people</w:t>
            </w:r>
          </w:p>
          <w:p>
            <w:r>
              <w:t xml:space="preserve">number of patients per 100,000 </w:t>
            </w:r>
            <w:r>
              <w:t xml:space="preserve">people</w:t>
            </w:r>
          </w:p>
          <w:p>
            <w:r>
              <w:t xml:space="preserve">number of defined daily doses (DDD) per 1,000 </w:t>
            </w:r>
            <w:r>
              <w:t xml:space="preserve">people</w:t>
            </w:r>
            <w:r>
              <w:t xml:space="preserv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140658551d7e4a31">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t xml:space="preserve">Analysis by Statistical Area Level 3 (SA3) 2016 is based on the patient's enrolment postcode </w:t>
            </w:r>
            <w:r>
              <w:t xml:space="preserve">as last reported by the patient to Medicare, valid at date of supply.</w:t>
            </w:r>
          </w:p>
          <w:p>
            <w:r>
              <w:t xml:space="preserve"> </w:t>
            </w:r>
          </w:p>
          <w:p>
            <w:r>
              <w:t xml:space="preserve">Suppress data (number and rate) if at least one of the following conditions are met:</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 </w:t>
            </w:r>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674f11db07b54f1d">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rPr>
              <w:t xml:space="preserve">     </w:t>
            </w:r>
            <w:r>
              <w:rPr>
                <w:rStyle w:val="row-content-rich-text"/>
              </w:rPr>
              <w:t xml:space="preserve">(a), (b)</w:t>
            </w:r>
            <w:r>
              <w:rPr>
                <w:rStyle w:val="row-content-rich-text"/>
              </w:rPr>
              <w:t xml:space="preserve">  </w:t>
            </w:r>
            <w:r>
              <w:rPr>
                <w:rStyle w:val="row-content-rich-text"/>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opioid prescriptions dispensed</w:t>
            </w:r>
          </w:p>
          <w:p>
            <w:pPr>
              <w:spacing w:after="160"/>
            </w:pPr>
            <w:r>
              <w:rPr>
                <w:rStyle w:val="row-content-rich-text"/>
              </w:rPr>
              <w:t xml:space="preserve">Number of patients dispensed at least one opioid prescription</w:t>
            </w:r>
          </w:p>
          <w:p>
            <w:pPr/>
            <w:r>
              <w:rPr>
                <w:rStyle w:val="row-content-rich-text"/>
              </w:rPr>
              <w:t xml:space="preserve">Number of DDD of opioid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hyperlink w:history="true" r:id="Rb8c7272b6b8845c0">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755eaaeb14564665">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a7c0cd6c015a4afb">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a4c651a3741341da">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27b9ef122d47da">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0625c3c0eda0476a">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rPr>
              <w:t xml:space="preserve">(a), (b), (c)  </w:t>
            </w: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c651f4e8464714">
              <w:r>
                <w:rPr>
                  <w:rStyle w:val="Hyperlink"/>
                </w:rPr>
                <w:t xml:space="preserve">Person—estimated resident population of Australia, total people N[N(7)]</w:t>
              </w:r>
            </w:hyperlink>
          </w:p>
          <w:p>
            <w:r>
              <w:rPr>
                <w:rStyle w:val="row-content"/>
                <w:b/>
              </w:rPr>
              <w:t xml:space="preserve">Data Source</w:t>
            </w:r>
          </w:p>
          <w:p>
            <w:hyperlink w:history="true" r:id="R2f7fe6767f7b4249">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(b) State and territory</w:t>
                  </w:r>
                </w:p>
                <w:p>
                  <w:pPr>
                    <w:spacing w:after="160"/>
                  </w:pPr>
                  <w:r>
                    <w:rPr>
                      <w:rStyle w:val="row-content-rich-text"/>
                    </w:rPr>
                    <w:t xml:space="preserve">(c) State and territory</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br/>
            </w:r>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19e4002319624e2b">
              <w:r>
                <w:rPr>
                  <w:rStyle w:val="Hyperlink"/>
                </w:rPr>
                <w:t xml:space="preserve">Address—Australian postcode, code (Postcode datafile) NNNN</w:t>
              </w:r>
            </w:hyperlink>
          </w:p>
          <w:p>
            <w:r>
              <w:rPr>
                <w:rStyle w:val="row-content"/>
                <w:b/>
              </w:rPr>
              <w:t xml:space="preserve">Guide for use</w:t>
            </w:r>
          </w:p>
          <w:p>
            <w:r>
              <w:rPr>
                <w:rStyle w:val="row-content"/>
              </w:rPr>
              <w:t xml:space="preserve">GPO postcodes 2001, 2124, 3001, 4001, 5001, 6843 excluded from the SA3 analysis but included in</w:t>
            </w:r>
            <w:r>
              <w:rPr>
                <w:rStyle w:val="row-content"/>
              </w:rPr>
              <w:t xml:space="preserve">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(a) Prescription event (b) Person (c) Defined Daily Dose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3c8b97138d417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1dbc7feba31e43a6">
              <w:r>
                <w:rPr>
                  <w:rStyle w:val="Hyperlink"/>
                </w:rPr>
                <w:t xml:space="preserve">http://www.pbs.gov.au/browse/body-system.</w:t>
              </w:r>
            </w:hyperlink>
          </w:p>
          <w:p>
            <w:pPr>
              <w:spacing w:after="160"/>
            </w:pPr>
            <w:r>
              <w:rPr>
                <w:rStyle w:val="row-content-rich-text"/>
              </w:rPr>
              <w:t xml:space="preserve">Further information on DDD/1,000/day </w:t>
            </w:r>
            <w:r>
              <w:rPr>
                <w:rStyle w:val="row-content-rich-text"/>
              </w:rPr>
              <w:t xml:space="preserve">is available at</w:t>
            </w:r>
            <w:hyperlink w:history="true" r:id="Rde5db32b8fcb414f">
              <w:r>
                <w:rPr>
                  <w:rStyle w:val="Hyperlink"/>
                </w:rPr>
                <w:t xml:space="preserve">http://www.who.int/medicines/regulation/medicines-safety/toolkit_indicators/en/index1.html</w:t>
              </w:r>
            </w:hyperlink>
          </w:p>
          <w:p>
            <w:pPr/>
            <w:r>
              <w:rPr>
                <w:rStyle w:val="row-content-rich-text"/>
              </w:rPr>
              <w:t xml:space="preserve">DDD amounts are available at </w:t>
            </w:r>
            <w:hyperlink w:history="true" r:id="R4017851fd0e24aa8">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2c574065084a58">
              <w:r>
                <w:rPr>
                  <w:rStyle w:val="Hyperlink"/>
                </w:rPr>
                <w:t xml:space="preserve">Number of PBS/RPBS prescriptions dispensed for opioid medicines per 100,000 people, all ages 2016-17 to 2020-21</w:t>
              </w:r>
            </w:hyperlink>
          </w:p>
          <w:p>
            <w:pPr>
              <w:pStyle w:val="registration-status"/>
              <w:spacing w:before="0" w:after="0"/>
            </w:pPr>
            <w:hyperlink w:history="true" r:id="Rf14a375f79f94ca3">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r>
        <w:br/>
      </w:r>
    </w:p>
    <w:sectPr>
      <w:footerReference xmlns:r="http://schemas.openxmlformats.org/officeDocument/2006/relationships" w:type="default" r:id="R1eb4d28ecb16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709514</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2b9b66765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4d28ecb164378" /><Relationship Type="http://schemas.openxmlformats.org/officeDocument/2006/relationships/header" Target="/word/header1.xml" Id="Rf221d6c7df56403b" /><Relationship Type="http://schemas.openxmlformats.org/officeDocument/2006/relationships/settings" Target="/word/settings.xml" Id="R25282e1c28f141e2" /><Relationship Type="http://schemas.openxmlformats.org/officeDocument/2006/relationships/styles" Target="/word/styles.xml" Id="Rd2f57c878c0e4859" /><Relationship Type="http://schemas.openxmlformats.org/officeDocument/2006/relationships/numbering" Target="/word/numbering.xml" Id="R23d604b76643411e" /><Relationship Type="http://schemas.openxmlformats.org/officeDocument/2006/relationships/hyperlink" Target="https://meteor.aihw.gov.au/RegistrationAuthority/18" TargetMode="External" Id="Rf8ca517e807047de" /><Relationship Type="http://schemas.openxmlformats.org/officeDocument/2006/relationships/hyperlink" Target="https://meteor.aihw.gov.au/content/708955" TargetMode="External" Id="Re157426d90624ba7" /><Relationship Type="http://schemas.openxmlformats.org/officeDocument/2006/relationships/hyperlink" Target="https://meteor.aihw.gov.au/RegistrationAuthority/18" TargetMode="External" Id="R0c678d6eb79a46dd" /><Relationship Type="http://schemas.openxmlformats.org/officeDocument/2006/relationships/hyperlink" Target="https://meteor.aihw.gov.au/content/327276" TargetMode="External" Id="R140658551d7e4a31" /><Relationship Type="http://schemas.openxmlformats.org/officeDocument/2006/relationships/hyperlink" Target="https://www.safetyandquality.gov.au/wp-content/uploads/2018/12/Text-Technical-supplement.pdf" TargetMode="External" Id="R674f11db07b54f1d" /><Relationship Type="http://schemas.openxmlformats.org/officeDocument/2006/relationships/hyperlink" Target="https://meteor.aihw.gov.au/content/287007" TargetMode="External" Id="Rb8c7272b6b8845c0" /><Relationship Type="http://schemas.openxmlformats.org/officeDocument/2006/relationships/hyperlink" Target="https://meteor.aihw.gov.au/content/600778" TargetMode="External" Id="R755eaaeb14564665" /><Relationship Type="http://schemas.openxmlformats.org/officeDocument/2006/relationships/hyperlink" Target="https://meteor.aihw.gov.au/content/601236" TargetMode="External" Id="Ra7c0cd6c015a4afb" /><Relationship Type="http://schemas.openxmlformats.org/officeDocument/2006/relationships/hyperlink" Target="https://meteor.aihw.gov.au/content/601876" TargetMode="External" Id="Ra4c651a3741341da" /><Relationship Type="http://schemas.openxmlformats.org/officeDocument/2006/relationships/hyperlink" Target="https://meteor.aihw.gov.au/content/602450" TargetMode="External" Id="R2527b9ef122d47da" /><Relationship Type="http://schemas.openxmlformats.org/officeDocument/2006/relationships/hyperlink" Target="https://meteor.aihw.gov.au/content/602767" TargetMode="External" Id="R0625c3c0eda0476a" /><Relationship Type="http://schemas.openxmlformats.org/officeDocument/2006/relationships/hyperlink" Target="https://meteor.aihw.gov.au/content/388656" TargetMode="External" Id="Rb7c651f4e8464714" /><Relationship Type="http://schemas.openxmlformats.org/officeDocument/2006/relationships/hyperlink" Target="https://meteor.aihw.gov.au/content/657459" TargetMode="External" Id="R2f7fe6767f7b4249" /><Relationship Type="http://schemas.openxmlformats.org/officeDocument/2006/relationships/hyperlink" Target="https://meteor.aihw.gov.au/content/611398" TargetMode="External" Id="R19e4002319624e2b" /><Relationship Type="http://schemas.openxmlformats.org/officeDocument/2006/relationships/hyperlink" Target="https://meteor.aihw.gov.au/content/657459" TargetMode="External" Id="Rf53c8b97138d4170" /><Relationship Type="http://schemas.openxmlformats.org/officeDocument/2006/relationships/hyperlink" Target="http://www.pbs.gov.au/browse/body-system" TargetMode="External" Id="R1dbc7feba31e43a6" /><Relationship Type="http://schemas.openxmlformats.org/officeDocument/2006/relationships/hyperlink" Target="http://www.who.int/medicines/regulation/medicines-safety/toolkit_indicators/en/index1.html" TargetMode="External" Id="Rde5db32b8fcb414f" /><Relationship Type="http://schemas.openxmlformats.org/officeDocument/2006/relationships/hyperlink" Target="https://www.whocc.no/atc_ddd_index/" TargetMode="External" Id="R4017851fd0e24aa8" /><Relationship Type="http://schemas.openxmlformats.org/officeDocument/2006/relationships/hyperlink" Target="https://meteor.aihw.gov.au/content/754809" TargetMode="External" Id="R5d2c574065084a58" /><Relationship Type="http://schemas.openxmlformats.org/officeDocument/2006/relationships/hyperlink" Target="https://meteor.aihw.gov.au/RegistrationAuthority/18" TargetMode="External" Id="Rf14a375f79f94ca3" /></Relationships>
</file>

<file path=word/_rels/header1.xml.rels>&#65279;<?xml version="1.0" encoding="utf-8"?><Relationships xmlns="http://schemas.openxmlformats.org/package/2006/relationships"><Relationship Type="http://schemas.openxmlformats.org/officeDocument/2006/relationships/image" Target="/media/image.png" Id="R6d52b9b6676545a3" /></Relationships>
</file>