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9413396599a413c" /></Relationships>
</file>

<file path=word/document.xml><?xml version="1.0" encoding="utf-8"?>
<w:document xmlns:r="http://schemas.openxmlformats.org/officeDocument/2006/relationships" xmlns:w="http://schemas.openxmlformats.org/wordprocessingml/2006/main">
  <w:body>
    <w:p>
      <w:pPr>
        <w:pStyle w:val="Title"/>
      </w:pPr>
      <w:r>
        <w:t>Australian Atlas of Healthcare Variation 2018: Number of MBS-subsidised services for standard echocardiography per 100,000 population aged 18 years and over, 2016-17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Atlas of Healthcare Variation 2018: Number of MBS-subsidised services for standard echocardiography per 100,000 population aged 18 years and over, 2016-17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Standard echocardiography, 18 years and over, 2016-17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709478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9bb88ec75643c5">
              <w:r>
                <w:rPr>
                  <w:rStyle w:val="Hyperlink"/>
                  <w:color w:val="244061"/>
                </w:rPr>
                <w:t xml:space="preserve">Australian Commission on Safety and Quality in Health Care</w:t>
              </w:r>
            </w:hyperlink>
            <w:r>
              <w:rPr>
                <w:rStyle w:val="row-content"/>
                <w:color w:val="244061"/>
              </w:rPr>
              <w:t xml:space="preserve">, Standard 13/12/2018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MBS-subsidised services for standard echocardiography per 100,000 population aged 18 years and over, age-sex standardised.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98942b67885436b">
              <w:r>
                <w:rPr>
                  <w:rStyle w:val="Hyperlink"/>
                </w:rPr>
                <w:t xml:space="preserve">Australian Atlas of Healthcare Variation 2018</w:t>
              </w:r>
            </w:hyperlink>
          </w:p>
          <w:p>
            <w:pPr>
              <w:spacing w:before="0" w:after="0"/>
            </w:pPr>
            <w:r>
              <w:rPr>
                <w:rStyle w:val="row-content"/>
                <w:color w:val="244061"/>
              </w:rPr>
              <w:t xml:space="preserve">       </w:t>
            </w:r>
            <w:hyperlink w:history="true" r:id="R32de4394857044f8">
              <w:r>
                <w:rPr>
                  <w:rStyle w:val="Hyperlink"/>
                  <w:color w:val="244061"/>
                </w:rPr>
                <w:t xml:space="preserve">Australian Commission on Safety and Quality in Health Care</w:t>
              </w:r>
            </w:hyperlink>
            <w:r>
              <w:rPr>
                <w:rStyle w:val="row-content"/>
                <w:color w:val="244061"/>
              </w:rPr>
              <w:t xml:space="preserve">, Standard 13/12/2018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Inclusion codes, description and additional requirements</w:t>
            </w:r>
          </w:p>
          <w:tbl>
            <w:tblPr>
              <w:tblStyle w:val="TableGrid"/>
              <w:tblW w:w="5000" w:type="pct"/>
              <w:tblLayout w:type="autofit"/>
            </w:tblPr>
            <w:tblGrid>
              <w:gridCol/>
              <w:gridCol/>
            </w:tblGrid>
            <w:tr>
              <w:trPr/>
              <w:tc>
                <w:tcPr>
                  <w:tcW w:w="1800" w:type="pct"/>
                  <w:vAlign w:val="top"/>
                </w:tcPr>
                <w:p>
                  <w:pPr/>
                  <w:r>
                    <w:rPr>
                      <w:rStyle w:val="row-content-rich-text"/>
                      <w:b/>
                    </w:rPr>
                    <w:t xml:space="preserve">MBS code</w:t>
                  </w:r>
                </w:p>
              </w:tc>
              <w:tc>
                <w:tcPr>
                  <w:tcW w:w="3150" w:type="pct"/>
                  <w:vAlign w:val="top"/>
                </w:tcPr>
                <w:p>
                  <w:r>
                    <w:rPr>
                      <w:b/>
                    </w:rPr>
                    <w:t xml:space="preserve">Description</w:t>
                  </w:r>
                </w:p>
              </w:tc>
            </w:tr>
            <w:tr>
              <w:trPr/>
              <w:tc>
                <w:tcPr>
                  <w:tcW w:w="1800" w:type="pct"/>
                  <w:vAlign w:val="top"/>
                </w:tcPr>
                <w:p>
                  <w:r>
                    <w:t xml:space="preserve">55113,</w:t>
                  </w:r>
                </w:p>
                <w:p>
                  <w:r>
                    <w:t xml:space="preserve">55114,</w:t>
                  </w:r>
                </w:p>
                <w:p>
                  <w:r>
                    <w:t xml:space="preserve">55115,</w:t>
                  </w:r>
                </w:p>
                <w:p>
                  <w:r>
                    <w:t xml:space="preserve">55119,</w:t>
                  </w:r>
                </w:p>
                <w:p>
                  <w:r>
                    <w:t xml:space="preserve">55120,</w:t>
                  </w:r>
                </w:p>
                <w:p>
                  <w:r>
                    <w:t xml:space="preserve">55121</w:t>
                  </w:r>
                </w:p>
              </w:tc>
              <w:tc>
                <w:tcPr>
                  <w:tcW w:w="3150" w:type="pct"/>
                  <w:vAlign w:val="top"/>
                </w:tcPr>
                <w:p>
                  <w:r>
                    <w:t xml:space="preserve">M-MODE and 2 DIMENSIONAL REAL TIME ECHOCARDIOGRAPHIC EXAMINATION</w:t>
                  </w:r>
                </w:p>
              </w:tc>
            </w:tr>
          </w:tbl>
          <w:p>
            <w:r>
              <w:t xml:space="preserve"> </w:t>
            </w:r>
          </w:p>
          <w:p>
            <w:r>
              <w:t xml:space="preserve">For a full description of the MBS items included for this indicator see the last 2016-17 MBS schedule: </w:t>
            </w:r>
            <w:hyperlink w:history="true" r:id="Rc8a0159a14244fe3">
              <w:r>
                <w:rPr>
                  <w:rStyle w:val="Hyperlink"/>
                </w:rPr>
                <w:t xml:space="preserve">http://www.mbsonline.gov.au/internet/mbsonline/publishing.nsf/Content/Downloads-201705</w:t>
              </w:r>
            </w:hyperlink>
          </w:p>
          <w:p>
            <w:r>
              <w:t xml:space="preserve"> </w:t>
            </w:r>
          </w:p>
          <w:p>
            <w:r>
              <w:t xml:space="preserve">Presented as a number of services per 100,000 population.</w:t>
            </w:r>
          </w:p>
          <w:p>
            <w:r>
              <w:t xml:space="preserve">Rates are directly age-sex standardised, to the 2001 Australian population, using 5-year age groups: 18-24, 25-29, … , 80-84, 85 and over.</w:t>
            </w:r>
          </w:p>
          <w:p>
            <w:r>
              <w:t xml:space="preserve">For more information about age-standardisation in general see </w:t>
            </w:r>
            <w:hyperlink w:history="true" r:id="R9b0dd0c90cb045a9">
              <w:r>
                <w:rPr>
                  <w:rStyle w:val="Hyperlink"/>
                </w:rPr>
                <w:t xml:space="preserve">/content/index.phtml/itemId/327276</w:t>
              </w:r>
            </w:hyperlink>
          </w:p>
          <w:p>
            <w:r>
              <w:rPr>
                <w:color w:val="000000"/>
              </w:rPr>
              <w:t xml:space="preserve">A patient’s age is calculated in years as the difference between the patient’s date of birth and date of service, as recorded in the MBS claim. </w:t>
            </w:r>
            <w:r>
              <w:rPr>
                <w:color w:val="000000"/>
              </w:rPr>
              <w:t xml:space="preserve">Date of birth and sex are as recorded on a patient’s last processed claim for any service in the processing period. </w:t>
            </w:r>
          </w:p>
          <w:p>
            <w:r>
              <w:t xml:space="preserve">Claim records are allocated to a financial year based on the date the service was provided to the patient. For example for 2016–17, the date of service is between 1 July 2016 and 30 June 2017.</w:t>
            </w:r>
            <w:r>
              <w:t xml:space="preserve"> </w:t>
            </w:r>
          </w:p>
          <w:p>
            <w:r>
              <w:t xml:space="preserve">Date of claim processing is between 1 July 2016 and 28 February 2018. </w:t>
            </w:r>
          </w:p>
          <w:p>
            <w:r>
              <w:t xml:space="preserve"> </w:t>
            </w:r>
          </w:p>
          <w:p>
            <w:r>
              <w:t xml:space="preserve">Analysis by Statistical Area Level 3 (SA3) 2016 is based on the patient's Medicare enrolment postcode </w:t>
            </w:r>
            <w:r>
              <w:t xml:space="preserve">at date of service, as recorded in the MBS claim. </w:t>
            </w:r>
          </w:p>
          <w:p>
            <w:r>
              <w:t xml:space="preserve">Suppress data (number and rate) if at least one of the following conditions are met: </w:t>
            </w:r>
          </w:p>
          <w:p>
            <w:r>
              <w:t xml:space="preserve">the total denominator is less than 1,000</w:t>
            </w:r>
          </w:p>
          <w:p>
            <w:r>
              <w:t xml:space="preserve">the total numerator is less than 20</w:t>
            </w:r>
          </w:p>
          <w:p>
            <w:pPr>
              <w:pStyle w:val="ListParagraph"/>
              <w:numPr>
                <w:ilvl w:val="0"/>
                <w:numId w:val="2"/>
              </w:numPr>
            </w:pPr>
            <w:r>
              <w:t xml:space="preserve">number of services is less than 6</w:t>
            </w:r>
          </w:p>
          <w:p>
            <w:pPr>
              <w:pStyle w:val="ListParagraph"/>
              <w:numPr>
                <w:ilvl w:val="0"/>
                <w:numId w:val="2"/>
              </w:numPr>
            </w:pPr>
            <w:r>
              <w:t xml:space="preserve">number of patients is less than 6</w:t>
            </w:r>
          </w:p>
          <w:p>
            <w:pPr>
              <w:pStyle w:val="ListParagraph"/>
              <w:numPr>
                <w:ilvl w:val="0"/>
                <w:numId w:val="2"/>
              </w:numPr>
            </w:pPr>
            <w:r>
              <w:t xml:space="preserve">number of service providers is less than 6</w:t>
            </w:r>
          </w:p>
          <w:p>
            <w:pPr>
              <w:pStyle w:val="ListParagraph"/>
              <w:numPr>
                <w:ilvl w:val="0"/>
                <w:numId w:val="2"/>
              </w:numPr>
            </w:pPr>
            <w:r>
              <w:t xml:space="preserve">top service provider contributed more than 85% of services</w:t>
            </w:r>
          </w:p>
          <w:p>
            <w:pPr>
              <w:pStyle w:val="ListParagraph"/>
              <w:numPr>
                <w:ilvl w:val="0"/>
                <w:numId w:val="2"/>
              </w:numPr>
            </w:pPr>
            <w:r>
              <w:t xml:space="preserve">top two service providers contributed more than 90% of services.</w:t>
            </w:r>
            <w:r>
              <w:t xml:space="preserve">    </w:t>
            </w:r>
          </w:p>
          <w:p>
            <w:r>
              <w:t xml:space="preserve">Age-sex standardised rates are also suppressed where the denominator for at least one of the age-sex groups used to calculate the rate is below 30 </w:t>
            </w:r>
            <w:r>
              <w:rPr>
                <w:color w:val="000000"/>
              </w:rPr>
              <w:t xml:space="preserve">and results of sensitivity analysis indicate that the rates are volatile. However, for SA3 data, if the volatility of the rate is not found to have a material impact on its decile, the rate is published with caution. For more information about the sensitivity analysis, see the </w:t>
            </w:r>
            <w:hyperlink w:history="true" r:id="R88d704ace13b4894">
              <w:r>
                <w:rPr>
                  <w:rStyle w:val="Hyperlink"/>
                  <w:color w:val="000000"/>
                </w:rPr>
                <w:t xml:space="preserve">Technical supplement of the Third Atlas.</w:t>
              </w:r>
              <w:r>
                <w:rPr>
                  <w:color w:val="000000"/>
                </w:rPr>
                <w:t xml:space="preserv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MBS-subsidised standard echocardiographs, 18 years and over, 2016-17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7df7f775f754c4a">
              <w:r>
                <w:rPr>
                  <w:rStyle w:val="Hyperlink"/>
                </w:rPr>
                <w:t xml:space="preserve">Person—date of birth, DDMMYYYY</w:t>
              </w:r>
            </w:hyperlink>
          </w:p>
          <w:p>
            <w:r>
              <w:rPr>
                <w:rStyle w:val="row-content"/>
                <w:b/>
              </w:rPr>
              <w:t xml:space="preserve">Data Source</w:t>
            </w:r>
          </w:p>
          <w:p>
            <w:hyperlink w:history="true" r:id="R75ce6292c78344e0">
              <w:r>
                <w:rPr>
                  <w:rStyle w:val="Hyperlink"/>
                </w:rPr>
                <w:t xml:space="preserve">Medicare (MBS) data</w:t>
              </w:r>
            </w:hyperlink>
          </w:p>
          <w:p>
            <w:r>
              <w:rPr>
                <w:rStyle w:val="row-content"/>
                <w:b/>
                <w:color w:val="000000"/>
              </w:rPr>
              <w:t xml:space="preserve">Data Element / Data Set</w:t>
            </w:r>
          </w:p>
          <w:p>
            <w:hyperlink w:history="true" r:id="R7bb9a040bf2d4cf9">
              <w:r>
                <w:rPr>
                  <w:rStyle w:val="Hyperlink"/>
                </w:rPr>
                <w:t xml:space="preserve">Service event—Medicare Benefits Schedule (MBS) processing date, DDMMYYYY</w:t>
              </w:r>
            </w:hyperlink>
          </w:p>
          <w:p>
            <w:r>
              <w:rPr>
                <w:rStyle w:val="row-content"/>
                <w:b/>
              </w:rPr>
              <w:t xml:space="preserve">Data Source</w:t>
            </w:r>
          </w:p>
          <w:p>
            <w:hyperlink w:history="true" r:id="Re023683c9ca74010">
              <w:r>
                <w:rPr>
                  <w:rStyle w:val="Hyperlink"/>
                </w:rPr>
                <w:t xml:space="preserve">Medicare (MBS)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deac0f905ae41c7">
              <w:r>
                <w:rPr>
                  <w:rStyle w:val="Hyperlink"/>
                </w:rPr>
                <w:t xml:space="preserve">Person—sex, code A</w:t>
              </w:r>
            </w:hyperlink>
          </w:p>
          <w:p>
            <w:r>
              <w:rPr>
                <w:rStyle w:val="row-content"/>
                <w:b/>
              </w:rPr>
              <w:t xml:space="preserve">Data Source</w:t>
            </w:r>
          </w:p>
          <w:p>
            <w:hyperlink w:history="true" r:id="R25144e141d144c9f">
              <w:r>
                <w:rPr>
                  <w:rStyle w:val="Hyperlink"/>
                </w:rPr>
                <w:t xml:space="preserve">Medicare (MBS) data</w:t>
              </w:r>
            </w:hyperlink>
          </w:p>
          <w:p>
            <w:r>
              <w:rPr>
                <w:rStyle w:val="row-content"/>
                <w:b/>
                <w:color w:val="000000"/>
              </w:rPr>
              <w:t xml:space="preserve">Data Element / Data Set</w:t>
            </w:r>
          </w:p>
          <w:p>
            <w:hyperlink w:history="true" r:id="Re17c83c5c93042b8">
              <w:r>
                <w:rPr>
                  <w:rStyle w:val="Hyperlink"/>
                </w:rPr>
                <w:t xml:space="preserve">Service event—date of Medicare service, DDMMYYYY</w:t>
              </w:r>
            </w:hyperlink>
          </w:p>
          <w:p>
            <w:r>
              <w:rPr>
                <w:rStyle w:val="row-content"/>
                <w:b/>
              </w:rPr>
              <w:t xml:space="preserve">Data Source</w:t>
            </w:r>
          </w:p>
          <w:p>
            <w:hyperlink w:history="true" r:id="R6a3eba88a8d1429a">
              <w:r>
                <w:rPr>
                  <w:rStyle w:val="Hyperlink"/>
                </w:rPr>
                <w:t xml:space="preserve">Medicare (MBS) data</w:t>
              </w:r>
            </w:hyperlink>
          </w:p>
          <w:p>
            <w:r>
              <w:rPr>
                <w:rStyle w:val="row-content"/>
                <w:b/>
                <w:color w:val="000000"/>
              </w:rPr>
              <w:t xml:space="preserve">Data Element / Data Set</w:t>
            </w:r>
          </w:p>
          <w:p>
            <w:hyperlink w:history="true" r:id="Rf4e5175759994d25">
              <w:r>
                <w:rPr>
                  <w:rStyle w:val="Hyperlink"/>
                </w:rPr>
                <w:t xml:space="preserve">Service event—Medicare Benefits Schedule (MBS) item identifier, NN[NNN]</w:t>
              </w:r>
            </w:hyperlink>
          </w:p>
          <w:p>
            <w:r>
              <w:rPr>
                <w:rStyle w:val="row-content"/>
                <w:b/>
              </w:rPr>
              <w:t xml:space="preserve">Data Source</w:t>
            </w:r>
          </w:p>
          <w:p>
            <w:hyperlink w:history="true" r:id="R871fd64cc5594f83">
              <w:r>
                <w:rPr>
                  <w:rStyle w:val="Hyperlink"/>
                </w:rPr>
                <w:t xml:space="preserve">Medicare (MBS) data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aged 18 years and over, as at 30 June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c3d28ce65d24802">
              <w:r>
                <w:rPr>
                  <w:rStyle w:val="Hyperlink"/>
                </w:rPr>
                <w:t xml:space="preserve">Person—estimated resident population of Australia, total people N[N(7)]</w:t>
              </w:r>
            </w:hyperlink>
          </w:p>
          <w:p>
            <w:r>
              <w:rPr>
                <w:rStyle w:val="row-content"/>
                <w:b/>
              </w:rPr>
              <w:t xml:space="preserve">Data Source</w:t>
            </w:r>
          </w:p>
          <w:p>
            <w:hyperlink w:history="true" r:id="Rd4d2239d96814109">
              <w:r>
                <w:rPr>
                  <w:rStyle w:val="Hyperlink"/>
                </w:rPr>
                <w:t xml:space="preserve">ABS Australian Demographic Statistics</w:t>
              </w:r>
            </w:hyperlink>
          </w:p>
          <w:p>
            <w:r>
              <w:rPr>
                <w:rStyle w:val="row-content"/>
                <w:b/>
              </w:rPr>
              <w:t xml:space="preserve">Guide for use</w:t>
            </w:r>
          </w:p>
          <w:p>
            <w:r>
              <w:rPr>
                <w:rStyle w:val="row-content"/>
              </w:rPr>
              <w:t xml:space="preserve"> </w:t>
            </w:r>
          </w:p>
          <w:p>
            <w:r>
              <w:rPr>
                <w:rStyle w:val="row-content"/>
              </w:rPr>
              <w:t xml:space="preserve">Data source type: Census 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SA3 2016 by:</w:t>
            </w:r>
          </w:p>
          <w:p>
            <w:pPr>
              <w:spacing w:after="160"/>
            </w:pPr>
            <w:r>
              <w:rPr>
                <w:rStyle w:val="row-content-rich-text"/>
              </w:rPr>
              <w:t xml:space="preserve">• remoteness (ASGS Remoteness structure 2016) and Socio-Economic Indexes for Areas (SEIFA 2016) Index of Relative Socioeconomic Disadvantage (IRSD 2016)</w:t>
            </w:r>
          </w:p>
          <w:p>
            <w:pPr>
              <w:spacing w:after="160"/>
            </w:pPr>
            <w:r>
              <w:rPr>
                <w:rStyle w:val="row-content-rich-text"/>
              </w:rPr>
              <w:t xml:space="preserve">Primary Health Network (</w:t>
            </w:r>
            <w:r>
              <w:rPr>
                <w:rStyle w:val="row-content-rich-text"/>
              </w:rPr>
              <w:t xml:space="preserve">PHN) 2017</w:t>
            </w:r>
          </w:p>
          <w:p>
            <w:pPr>
              <w:spacing w:after="160"/>
            </w:pPr>
            <w:r>
              <w:rPr>
                <w:rStyle w:val="row-content-rich-text"/>
              </w:rPr>
              <w:t xml:space="preserve">State and territory</w:t>
            </w:r>
          </w:p>
          <w:p>
            <w:pPr>
              <w:spacing w:after="160"/>
            </w:pPr>
            <w:r>
              <w:rPr>
                <w:rStyle w:val="row-content-rich-text"/>
                <w:b/>
              </w:rPr>
              <w:t xml:space="preserve"> </w:t>
            </w:r>
          </w:p>
          <w:p>
            <w:pPr>
              <w:spacing w:after="160"/>
            </w:pPr>
            <w:r>
              <w:rPr>
                <w:rStyle w:val="row-content-rich-text"/>
              </w:rPr>
              <w:t xml:space="preserve">State and territory by:</w:t>
            </w:r>
          </w:p>
          <w:p>
            <w:pPr>
              <w:pStyle w:val="ListParagraph"/>
              <w:numPr>
                <w:ilvl w:val="0"/>
                <w:numId w:val="3"/>
              </w:numPr>
            </w:pPr>
            <w:r>
              <w:rPr>
                <w:rStyle w:val="row-content-rich-text"/>
                <w:color w:val="000000"/>
              </w:rPr>
              <w:t xml:space="preserve">age group (18-44 years, 45-79 years, 80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Address—statistical area, level 3 (SA3) code (ASGS 2016) NNNNN</w:t>
            </w:r>
            <w:r>
              <w:br/>
            </w:r>
            <w:r>
              <w:br/>
            </w:r>
            <w:r>
              <w:rPr>
                <w:rStyle w:val="row-content"/>
              </w:rPr>
              <w:t xml:space="preserve"> </w:t>
            </w:r>
          </w:p>
          <w:p>
            <w:r>
              <w:rPr>
                <w:rStyle w:val="row-content"/>
              </w:rPr>
              <w:t xml:space="preserve"> </w:t>
            </w:r>
          </w:p>
          <w:p>
            <w:r>
              <w:rPr>
                <w:rStyle w:val="row-content"/>
                <w:b/>
                <w:color w:val="000000"/>
              </w:rPr>
              <w:t xml:space="preserve">Data Element / Data Set</w:t>
            </w:r>
          </w:p>
          <w:p>
            <w:hyperlink w:history="true" r:id="R7723c27cd84f407f">
              <w:r>
                <w:rPr>
                  <w:rStyle w:val="Hyperlink"/>
                </w:rPr>
                <w:t xml:space="preserve">Person—date of birth, DDMMYYYY</w:t>
              </w:r>
            </w:hyperlink>
          </w:p>
          <w:p>
            <w:r>
              <w:rPr>
                <w:rStyle w:val="row-content"/>
                <w:b/>
              </w:rPr>
              <w:t xml:space="preserve">Data Source</w:t>
            </w:r>
          </w:p>
          <w:p>
            <w:hyperlink w:history="true" r:id="R268299505da24917">
              <w:r>
                <w:rPr>
                  <w:rStyle w:val="Hyperlink"/>
                </w:rPr>
                <w:t xml:space="preserve">Medicare (MBS) data</w:t>
              </w:r>
            </w:hyperlink>
          </w:p>
          <w:p>
            <w:r>
              <w:rPr>
                <w:rStyle w:val="row-content"/>
                <w:b/>
              </w:rPr>
              <w:t xml:space="preserve">Guide for use</w:t>
            </w:r>
          </w:p>
          <w:p>
            <w:r>
              <w:rPr>
                <w:rStyle w:val="row-content"/>
              </w:rPr>
              <w:t xml:space="preserve"> </w:t>
            </w:r>
          </w:p>
          <w:p>
            <w:r>
              <w:rPr>
                <w:rStyle w:val="row-content"/>
              </w:rPr>
              <w:t xml:space="preserve">GPO postcodes 2001, 2124, 3001, 4001, 5001, 6843 excluded from the SA3 analysis but included in state/territory and national level analysis.</w:t>
            </w:r>
          </w:p>
          <w:p>
            <w:r>
              <w:rPr>
                <w:rStyle w:val="row-content"/>
              </w:rPr>
              <w:t xml:space="preserve">Data source type: Administrative by-product data</w:t>
            </w:r>
          </w:p>
          <w:p>
            <w:r>
              <w:rPr>
                <w:rStyle w:val="row-content"/>
              </w:rPr>
              <w:t xml:space="preserve">Used for disaggregation by Statistical Area Level 3.</w:t>
            </w:r>
          </w:p>
          <w:p>
            <w:r>
              <w:rPr>
                <w:rStyle w:val="row-content"/>
              </w:rPr>
              <w:t xml:space="preserve"> </w:t>
            </w:r>
          </w:p>
          <w:p>
            <w:r>
              <w:rPr>
                <w:rStyle w:val="row-content"/>
                <w:b/>
                <w:color w:val="000000"/>
              </w:rPr>
              <w:t xml:space="preserve">Data Element / Data Set</w:t>
            </w:r>
          </w:p>
          <w:p>
            <w:hyperlink w:history="true" r:id="R1971d567d20c4e1b">
              <w:r>
                <w:rPr>
                  <w:rStyle w:val="Hyperlink"/>
                </w:rPr>
                <w:t xml:space="preserve">Address—Australian postcode, code (Postcode datafile) NNNN</w:t>
              </w:r>
            </w:hyperlink>
          </w:p>
          <w:p>
            <w:r>
              <w:rPr>
                <w:rStyle w:val="row-content"/>
                <w:b/>
              </w:rPr>
              <w:t xml:space="preserve">Data Source</w:t>
            </w:r>
          </w:p>
          <w:p>
            <w:hyperlink w:history="true" r:id="R236c84f324aa4ed3">
              <w:r>
                <w:rPr>
                  <w:rStyle w:val="Hyperlink"/>
                </w:rPr>
                <w:t xml:space="preserve">Medicare (MBS) data</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e571c0e8b2f4131">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13f7ae5a431d4be8">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 </w:t>
            </w:r>
          </w:p>
          <w:p>
            <w:r>
              <w:rPr>
                <w:rStyle w:val="row-content"/>
              </w:rPr>
              <w:t xml:space="preserve">Department of Health</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spacing w:after="160"/>
            </w:pPr>
            <w:r>
              <w:rPr>
                <w:rStyle w:val="row-content-rich-text"/>
                <w:color w:val="000000"/>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340 spatial SA3s covering the whole of Australia without gaps or overlaps. They are designed to provide a regional breakdown of Australia. SA3s generally have a population of between 30,000 and 130,000 people. There are approximately 78 with fewer than 30,000 people and 46 with more than 130,000 as at 30 June 2016. </w:t>
            </w:r>
            <w:r>
              <w:rPr>
                <w:rStyle w:val="row-content-rich-text"/>
                <w:color w:val="000000"/>
              </w:rPr>
              <w:t xml:space="preserve">The Other Territories of Jervis Bay, Cocos (Keeling) Islands, Christmas Island and Norfolk Island are each represented by a SA3 in the 2016 ASGS.</w:t>
            </w:r>
            <w:r>
              <w:rPr>
                <w:rStyle w:val="row-content-rich-text"/>
              </w:rPr>
              <w:t xml:space="preserve"> For further information see the ABS publication, Population by Age and Sex, Regions of Australia, 2016. ABS. cat. no. 3235.0.</w:t>
            </w:r>
          </w:p>
          <w:p>
            <w:pPr/>
            <w:r>
              <w:rPr>
                <w:rStyle w:val="row-content-rich-text"/>
              </w:rPr>
              <w:t xml:space="preserve">Further information on the Medicare Benefits Schedule (MBS) can be found at </w:t>
            </w:r>
            <w:hyperlink w:history="true" r:id="Rfa453d24fdaa47f1">
              <w:r>
                <w:rPr>
                  <w:rStyle w:val="Hyperlink"/>
                </w:rPr>
                <w:t xml:space="preserve">&lt;http://www.mbsonline.gov.au/internet/mbsonline/publishing.nsf/Content/Home&gt;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w:t>
            </w:r>
          </w:p>
          <w:p>
            <w:pPr/>
            <w:r>
              <w:rPr>
                <w:rStyle w:val="row-content-rich-text"/>
                <w:i/>
              </w:rPr>
              <w:t xml:space="preserve">The Third Australian Atlas of Healthcare Variation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11/12/2018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bl>
    <w:p>
      <w:r>
        <w:br/>
      </w:r>
    </w:p>
    <w:sectPr>
      <w:footerReference xmlns:r="http://schemas.openxmlformats.org/officeDocument/2006/relationships" w:type="default" r:id="R9bd0217dcbb644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709478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6b919bc54240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d0217dcbb64430" /><Relationship Type="http://schemas.openxmlformats.org/officeDocument/2006/relationships/header" Target="/word/header1.xml" Id="R615d6edaf9ff48f1" /><Relationship Type="http://schemas.openxmlformats.org/officeDocument/2006/relationships/settings" Target="/word/settings.xml" Id="R42c80a5a5cdb4a5d" /><Relationship Type="http://schemas.openxmlformats.org/officeDocument/2006/relationships/styles" Target="/word/styles.xml" Id="R06b0a5389f3a4487" /><Relationship Type="http://schemas.openxmlformats.org/officeDocument/2006/relationships/hyperlink" Target="https://meteor.aihw.gov.au/RegistrationAuthority/18" TargetMode="External" Id="Rb29bb88ec75643c5" /><Relationship Type="http://schemas.openxmlformats.org/officeDocument/2006/relationships/hyperlink" Target="https://meteor.aihw.gov.au/content/708955" TargetMode="External" Id="Rb98942b67885436b" /><Relationship Type="http://schemas.openxmlformats.org/officeDocument/2006/relationships/hyperlink" Target="https://meteor.aihw.gov.au/RegistrationAuthority/18" TargetMode="External" Id="R32de4394857044f8" /><Relationship Type="http://schemas.openxmlformats.org/officeDocument/2006/relationships/hyperlink" Target="http://www.mbsonline.gov.au/internet/mbsonline/publishing.nsf/Content/Downloads-201705" TargetMode="External" Id="Rc8a0159a14244fe3" /><Relationship Type="http://schemas.openxmlformats.org/officeDocument/2006/relationships/hyperlink" Target="https://meteor.aihw.gov.au/content/327276" TargetMode="External" Id="R9b0dd0c90cb045a9" /><Relationship Type="http://schemas.openxmlformats.org/officeDocument/2006/relationships/numbering" Target="/word/numbering.xml" Id="R5814e4bfcee44767" /><Relationship Type="http://schemas.openxmlformats.org/officeDocument/2006/relationships/hyperlink" Target="https://www.safetyandquality.gov.au/wp-content/uploads/2018/12/Text-Technical-supplement.pdf" TargetMode="External" Id="R88d704ace13b4894" /><Relationship Type="http://schemas.openxmlformats.org/officeDocument/2006/relationships/hyperlink" Target="https://meteor.aihw.gov.au/content/287007" TargetMode="External" Id="Rc7df7f775f754c4a" /><Relationship Type="http://schemas.openxmlformats.org/officeDocument/2006/relationships/hyperlink" Target="https://meteor.aihw.gov.au/content/394305" TargetMode="External" Id="R75ce6292c78344e0" /><Relationship Type="http://schemas.openxmlformats.org/officeDocument/2006/relationships/hyperlink" Target="https://meteor.aihw.gov.au/content/573414" TargetMode="External" Id="R7bb9a040bf2d4cf9" /><Relationship Type="http://schemas.openxmlformats.org/officeDocument/2006/relationships/hyperlink" Target="https://meteor.aihw.gov.au/content/394305" TargetMode="External" Id="Re023683c9ca74010" /><Relationship Type="http://schemas.openxmlformats.org/officeDocument/2006/relationships/hyperlink" Target="https://meteor.aihw.gov.au/content/602450" TargetMode="External" Id="R4deac0f905ae41c7" /><Relationship Type="http://schemas.openxmlformats.org/officeDocument/2006/relationships/hyperlink" Target="https://meteor.aihw.gov.au/content/394305" TargetMode="External" Id="R25144e141d144c9f" /><Relationship Type="http://schemas.openxmlformats.org/officeDocument/2006/relationships/hyperlink" Target="https://meteor.aihw.gov.au/content/603319" TargetMode="External" Id="Re17c83c5c93042b8" /><Relationship Type="http://schemas.openxmlformats.org/officeDocument/2006/relationships/hyperlink" Target="https://meteor.aihw.gov.au/content/394305" TargetMode="External" Id="R6a3eba88a8d1429a" /><Relationship Type="http://schemas.openxmlformats.org/officeDocument/2006/relationships/hyperlink" Target="https://meteor.aihw.gov.au/content/603645" TargetMode="External" Id="Rf4e5175759994d25" /><Relationship Type="http://schemas.openxmlformats.org/officeDocument/2006/relationships/hyperlink" Target="https://meteor.aihw.gov.au/content/394305" TargetMode="External" Id="R871fd64cc5594f83" /><Relationship Type="http://schemas.openxmlformats.org/officeDocument/2006/relationships/hyperlink" Target="https://meteor.aihw.gov.au/content/388656" TargetMode="External" Id="Rfc3d28ce65d24802" /><Relationship Type="http://schemas.openxmlformats.org/officeDocument/2006/relationships/hyperlink" Target="https://meteor.aihw.gov.au/content/657459" TargetMode="External" Id="Rd4d2239d96814109" /><Relationship Type="http://schemas.openxmlformats.org/officeDocument/2006/relationships/hyperlink" Target="https://meteor.aihw.gov.au/content/287007" TargetMode="External" Id="R7723c27cd84f407f" /><Relationship Type="http://schemas.openxmlformats.org/officeDocument/2006/relationships/hyperlink" Target="https://meteor.aihw.gov.au/content/394305" TargetMode="External" Id="R268299505da24917" /><Relationship Type="http://schemas.openxmlformats.org/officeDocument/2006/relationships/hyperlink" Target="https://meteor.aihw.gov.au/content/611398" TargetMode="External" Id="R1971d567d20c4e1b" /><Relationship Type="http://schemas.openxmlformats.org/officeDocument/2006/relationships/hyperlink" Target="https://meteor.aihw.gov.au/content/394305" TargetMode="External" Id="R236c84f324aa4ed3" /><Relationship Type="http://schemas.openxmlformats.org/officeDocument/2006/relationships/hyperlink" Target="https://meteor.aihw.gov.au/content/657459" TargetMode="External" Id="Ree571c0e8b2f4131" /><Relationship Type="http://schemas.openxmlformats.org/officeDocument/2006/relationships/hyperlink" Target="https://meteor.aihw.gov.au/content/394305" TargetMode="External" Id="R13f7ae5a431d4be8" /><Relationship Type="http://schemas.openxmlformats.org/officeDocument/2006/relationships/hyperlink" Target="http://www.mbsonline.gov.au/internet/mbsonline/publishing.nsf/Content/Home" TargetMode="External" Id="Rfa453d24fdaa47f1" /></Relationships>
</file>

<file path=word/_rels/header1.xml.rels>&#65279;<?xml version="1.0" encoding="utf-8"?><Relationships xmlns="http://schemas.openxmlformats.org/package/2006/relationships"><Relationship Type="http://schemas.openxmlformats.org/officeDocument/2006/relationships/image" Target="/media/image.png" Id="R4c6b919bc542406a" /></Relationships>
</file>