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6c045c1cd448ba"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thyroidectomy hospitalisations per 100,000 people aged 18 years and over, 2014-15 to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thyroidectomy hospitalisations per 100,000 people aged 18 years and over, 2014-15 to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Thyroidectomy hospitalisations, 18 years and over, 2014–15 to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242d42ded40d2">
              <w:r>
                <w:rPr>
                  <w:rStyle w:val="Hyperlink"/>
                  <w:color w:val="244061"/>
                </w:rPr>
                <w:t xml:space="preserve">Australian Commission on Safety and Quality in Health Care</w:t>
              </w:r>
            </w:hyperlink>
            <w:r>
              <w:rPr>
                <w:rStyle w:val="row-content"/>
                <w:color w:val="244061"/>
              </w:rPr>
              <w:t xml:space="preserve">, Qualified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thyroidectomy hospitalisations per 100,000 people aged 18 years and over,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aa7f3121ae47c1">
              <w:r>
                <w:rPr>
                  <w:rStyle w:val="Hyperlink"/>
                </w:rPr>
                <w:t xml:space="preserve">Australian Atlas of Healthcare Variation 2018</w:t>
              </w:r>
            </w:hyperlink>
          </w:p>
          <w:p>
            <w:pPr>
              <w:spacing w:before="0" w:after="0"/>
            </w:pPr>
            <w:r>
              <w:rPr>
                <w:rStyle w:val="row-content"/>
                <w:color w:val="244061"/>
              </w:rPr>
              <w:t xml:space="preserve">       </w:t>
            </w:r>
            <w:hyperlink w:history="true" r:id="R43cff51b46d94843">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Main analysis</w:t>
                  </w:r>
                </w:p>
                <w:p>
                  <w:pPr>
                    <w:spacing w:after="160"/>
                  </w:pPr>
                  <w:r>
                    <w:rPr>
                      <w:rStyle w:val="row-content-rich-text"/>
                      <w:b/>
                    </w:rPr>
                    <w:t xml:space="preserve">Inclusion codes, description and additional requirements</w:t>
                  </w:r>
                </w:p>
                <w:tbl>
                  <w:tblPr>
                    <w:tblStyle w:val="InnerTable"/>
                    <w:tblW w:w="5000" w:type="pct"/>
                    <w:tblLayout w:type="autofit"/>
                  </w:tblPr>
                  <w:tblGrid>
                    <w:gridCol/>
                    <w:gridCol/>
                    <w:gridCol/>
                  </w:tblGrid>
                  <w:tr>
                    <w:trPr/>
                    <w:tc>
                      <w:tcPr>
                        <w:tcW w:w="1800" w:type="pct"/>
                        <w:vAlign w:val="top"/>
                      </w:tcPr>
                      <w:p>
                        <w:pPr/>
                        <w:r>
                          <w:rPr>
                            <w:rStyle w:val="row-content-rich-text"/>
                            <w:b/>
                          </w:rPr>
                          <w:t xml:space="preserve">ACHI (8th and 9th editions) procedure code</w:t>
                        </w:r>
                      </w:p>
                    </w:tc>
                    <w:tc>
                      <w:tcPr>
                        <w:tcW w:w="700" w:type="pct"/>
                        <w:vAlign w:val="top"/>
                      </w:tcPr>
                      <w:p>
                        <w:r>
                          <w:rPr>
                            <w:b/>
                          </w:rPr>
                          <w:t xml:space="preserve">Description</w:t>
                        </w:r>
                      </w:p>
                    </w:tc>
                    <w:tc>
                      <w:tcPr>
                        <w:tcW w:w="2500" w:type="pct"/>
                        <w:vAlign w:val="top"/>
                      </w:tcPr>
                      <w:p>
                        <w:r>
                          <w:rPr>
                            <w:b/>
                          </w:rPr>
                          <w:t xml:space="preserve">Additional requirements</w:t>
                        </w:r>
                      </w:p>
                    </w:tc>
                  </w:tr>
                  <w:tr>
                    <w:trPr/>
                    <w:tc>
                      <w:tcPr>
                        <w:tcW w:w="1800" w:type="pct"/>
                        <w:vAlign w:val="top"/>
                      </w:tcPr>
                      <w:p>
                        <w:r>
                          <w:t xml:space="preserve">30296-01</w:t>
                        </w:r>
                      </w:p>
                    </w:tc>
                    <w:tc>
                      <w:tcPr>
                        <w:tcW w:w="700" w:type="pct"/>
                        <w:vAlign w:val="top"/>
                      </w:tcPr>
                      <w:p>
                        <w:r>
                          <w:t xml:space="preserve">Total thyroidectomy</w:t>
                        </w:r>
                      </w:p>
                    </w:tc>
                    <w:tc>
                      <w:tcPr>
                        <w:tcW w:w="2500" w:type="pct"/>
                        <w:vMerge w:val="restart"/>
                        <w:vAlign w:val="top"/>
                      </w:tcPr>
                      <w:p>
                        <w:r>
                          <w:t xml:space="preserve">Include records with at least one of the listed procedures. A record with more than one of the listed procedures is counted only once.</w:t>
                        </w:r>
                      </w:p>
                    </w:tc>
                  </w:tr>
                  <w:tr>
                    <w:trPr/>
                    <w:tc>
                      <w:tcPr>
                        <w:tcW w:w="1800" w:type="pct"/>
                        <w:vAlign w:val="top"/>
                      </w:tcPr>
                      <w:p>
                        <w:r>
                          <w:t xml:space="preserve">30297-02</w:t>
                        </w:r>
                      </w:p>
                    </w:tc>
                    <w:tc>
                      <w:tcPr>
                        <w:tcW w:w="700" w:type="pct"/>
                        <w:vMerge/>
                      </w:tcPr>
                      <w:p/>
                    </w:tc>
                    <w:tc>
                      <w:tcPr>
                        <w:tcW w:w="2500" w:type="pct"/>
                        <w:vAlign w:val="top"/>
                      </w:tcPr>
                      <w:p>
                        <w:r>
                          <w:t xml:space="preserve">Thyroidectomy following previous thyroid surgery</w:t>
                        </w:r>
                      </w:p>
                    </w:tc>
                  </w:tr>
                  <w:tr>
                    <w:trPr/>
                    <w:tc>
                      <w:tcPr>
                        <w:tcW w:w="1800" w:type="pct"/>
                        <w:vAlign w:val="top"/>
                      </w:tcPr>
                      <w:p>
                        <w:r>
                          <w:t xml:space="preserve">30306-01</w:t>
                        </w:r>
                      </w:p>
                    </w:tc>
                    <w:tc>
                      <w:tcPr>
                        <w:tcW w:w="700" w:type="pct"/>
                        <w:vMerge/>
                      </w:tcPr>
                      <w:p/>
                    </w:tc>
                    <w:tc>
                      <w:tcPr>
                        <w:tcW w:w="2500" w:type="pct"/>
                        <w:vAlign w:val="top"/>
                      </w:tcPr>
                      <w:p>
                        <w:r>
                          <w:t xml:space="preserve">Total thyroid lobectomy, unilateral</w:t>
                        </w:r>
                      </w:p>
                    </w:tc>
                  </w:tr>
                  <w:tr>
                    <w:trPr/>
                    <w:tc>
                      <w:tcPr>
                        <w:tcW w:w="1800" w:type="pct"/>
                        <w:vAlign w:val="top"/>
                      </w:tcPr>
                      <w:p>
                        <w:r>
                          <w:t xml:space="preserve">30308-00</w:t>
                        </w:r>
                      </w:p>
                    </w:tc>
                    <w:tc>
                      <w:tcPr>
                        <w:tcW w:w="700" w:type="pct"/>
                        <w:vMerge/>
                      </w:tcPr>
                      <w:p/>
                    </w:tc>
                    <w:tc>
                      <w:tcPr>
                        <w:tcW w:w="2500" w:type="pct"/>
                        <w:vAlign w:val="top"/>
                      </w:tcPr>
                      <w:p>
                        <w:r>
                          <w:t xml:space="preserve">Subtotal thyroidectomy, bilateral</w:t>
                        </w:r>
                      </w:p>
                    </w:tc>
                  </w:tr>
                  <w:tr>
                    <w:trPr/>
                    <w:tc>
                      <w:tcPr>
                        <w:tcW w:w="1800" w:type="pct"/>
                        <w:vAlign w:val="top"/>
                      </w:tcPr>
                      <w:p>
                        <w:r>
                          <w:t xml:space="preserve">30310-00</w:t>
                        </w:r>
                      </w:p>
                    </w:tc>
                    <w:tc>
                      <w:tcPr>
                        <w:tcW w:w="700" w:type="pct"/>
                        <w:vMerge/>
                      </w:tcPr>
                      <w:p/>
                    </w:tc>
                    <w:tc>
                      <w:tcPr>
                        <w:tcW w:w="2500" w:type="pct"/>
                        <w:vAlign w:val="top"/>
                      </w:tcPr>
                      <w:p>
                        <w:r>
                          <w:t xml:space="preserve">Subtotal thyroidectomy, unilateral</w:t>
                        </w:r>
                      </w:p>
                    </w:tc>
                  </w:tr>
                  <w:tr>
                    <w:trPr/>
                    <w:tc>
                      <w:tcPr>
                        <w:tcW w:w="1800" w:type="pct"/>
                        <w:vAlign w:val="top"/>
                      </w:tcPr>
                      <w:p>
                        <w:r>
                          <w:t xml:space="preserve">90046-02</w:t>
                        </w:r>
                      </w:p>
                    </w:tc>
                    <w:tc>
                      <w:tcPr>
                        <w:tcW w:w="700" w:type="pct"/>
                        <w:vMerge/>
                      </w:tcPr>
                      <w:p/>
                    </w:tc>
                    <w:tc>
                      <w:tcPr>
                        <w:tcW w:w="2500" w:type="pct"/>
                        <w:vAlign w:val="top"/>
                      </w:tcPr>
                      <w:p>
                        <w:r>
                          <w:t xml:space="preserve">Thyroidectomy with removal of substernal thyroid</w:t>
                        </w:r>
                      </w:p>
                    </w:tc>
                  </w:tr>
                </w:tbl>
                <w:p>
                  <w:r>
                    <w:t xml:space="preserve"> </w:t>
                  </w:r>
                </w:p>
                <w:p>
                  <w:r>
                    <w:rPr>
                      <w:b/>
                    </w:rPr>
                    <w:t xml:space="preserve">Exclusion codes, description and additional requirements</w:t>
                  </w:r>
                </w:p>
                <w:tbl>
                  <w:tblPr>
                    <w:tblStyle w:val="InnerTable"/>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 – unqualified days only</w:t>
                        </w:r>
                      </w:p>
                    </w:tc>
                  </w:tr>
                  <w:tr>
                    <w:trPr/>
                    <w:tc>
                      <w:tcPr>
                        <w:tcW w:w="1000" w:type="pct"/>
                        <w:vAlign w:val="top"/>
                      </w:tcPr>
                      <w:p>
                        <w:r>
                          <w:t xml:space="preserve">9.0</w:t>
                        </w:r>
                      </w:p>
                    </w:tc>
                    <w:tc>
                      <w:tcPr>
                        <w:tcW w:w="4000" w:type="pct"/>
                        <w:vAlign w:val="top"/>
                      </w:tcPr>
                      <w:p>
                        <w:r>
                          <w:t xml:space="preserve">Organ procurement – 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of hospitalisations per 100,000 people.</w:t>
                  </w:r>
                </w:p>
                <w:p>
                  <w:r>
                    <w:t xml:space="preserve">Rates are directly </w:t>
                  </w:r>
                  <w:r>
                    <w:t xml:space="preserve">age-sex standardised</w:t>
                  </w:r>
                  <w:r>
                    <w:t xml:space="preserve">, to the 2001 Australian population</w:t>
                  </w:r>
                  <w:r>
                    <w:t xml:space="preserve">  </w:t>
                  </w:r>
                  <w:r>
                    <w:t xml:space="preserve">aged 18 years and over, using 5-year age groups: 18-24, 25-29, … , 80-84, 85 and over.</w:t>
                  </w:r>
                </w:p>
                <w:p>
                  <w:r>
                    <w:t xml:space="preserve">Indigenous and other Australian rates are directly age-sex standardised, to the 2001 Australian population aged 18 years and over, using 5-year age groups: 18-24, 25-29, … , 60–64, 65 and over.</w:t>
                  </w:r>
                </w:p>
                <w:p>
                  <w:r>
                    <w:t xml:space="preserve">For more information about age-standardisation in general see </w:t>
                  </w:r>
                  <w:hyperlink w:history="true" r:id="Rba439aedc71f4216">
                    <w:r>
                      <w:rPr>
                        <w:rStyle w:val="Hyperlink"/>
                      </w:rPr>
                      <w:t xml:space="preserve">/content/index.phtml/itemId/327276</w:t>
                    </w:r>
                  </w:hyperlink>
                </w:p>
                <w:p>
                  <w:r>
                    <w:t xml:space="preserve"> </w:t>
                  </w:r>
                </w:p>
                <w:p>
                  <w:r>
                    <w:t xml:space="preserve">Analysis by Statistical Area Level 3 (SA3) 2016 is based on Statistical Area Level 2 (SA2) 2011 of usual residence of the patient, converted to SA3 (ASGS 2016) equivalents through an ABS concordance file.</w:t>
                  </w:r>
                </w:p>
                <w:p>
                  <w:r>
                    <w:t xml:space="preserve"> </w:t>
                  </w:r>
                </w:p>
                <w:p>
                  <w:r>
                    <w:t xml:space="preserve">Suppress data (number and rate) if at least one of the following conditions are met: </w:t>
                  </w:r>
                </w:p>
                <w:p>
                  <w:r>
                    <w:t xml:space="preserve">·</w:t>
                  </w:r>
                  <w:r>
                    <w:t xml:space="preserve">           </w:t>
                  </w:r>
                  <w:r>
                    <w:t xml:space="preserve">the total denominator is less than 1,000</w:t>
                  </w:r>
                </w:p>
                <w:p>
                  <w:r>
                    <w:t xml:space="preserve">·</w:t>
                  </w:r>
                  <w:r>
                    <w:t xml:space="preserve">           </w:t>
                  </w:r>
                  <w:r>
                    <w:t xml:space="preserve">the total numerator is less than 10.</w:t>
                  </w:r>
                </w:p>
                <w:p>
                  <w:r>
                    <w:t xml:space="preserve"> </w:t>
                  </w:r>
                </w:p>
                <w:p>
                  <w:r>
                    <w:t xml:space="preserve">Age-sex standardised rates are also suppressed where the denominator for at least one of the age-sex groups used to calculate the rate is below 30 </w:t>
                  </w:r>
                  <w:r>
                    <w:rPr>
                      <w:color w:val="00000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3d96cd8db4fe49c0">
                    <w:r>
                      <w:rPr>
                        <w:rStyle w:val="Hyperlink"/>
                        <w:color w:val="000000"/>
                      </w:rPr>
                      <w:t xml:space="preserve">Technical supplement of the Third Atlas.</w:t>
                    </w:r>
                  </w:hyperlink>
                </w:p>
                <w:p>
                  <w:r>
                    <w:t xml:space="preserve">The main analysis is thyroidectomy hospitalisations. An additional analysis is thyroidectomy hospitalisations by principal diagnosis type which used the codes below. </w:t>
                  </w:r>
                </w:p>
                <w:p>
                  <w:r>
                    <w:t xml:space="preserve"> </w:t>
                  </w:r>
                </w:p>
                <w:p>
                  <w:r>
                    <w:rPr>
                      <w:b/>
                    </w:rPr>
                    <w:t xml:space="preserve">Inclusion codes, description and additional requirements for thyroidectomies for malignant neoplasm of thyroid</w:t>
                  </w:r>
                </w:p>
                <w:tbl>
                  <w:tblPr>
                    <w:tblStyle w:val="InnerTable"/>
                    <w:tblW w:w="5000" w:type="pct"/>
                    <w:tblLayout w:type="autofit"/>
                  </w:tblPr>
                  <w:tblGrid>
                    <w:gridCol/>
                    <w:gridCol/>
                    <w:gridCol/>
                  </w:tblGrid>
                  <w:tr>
                    <w:trPr/>
                    <w:tc>
                      <w:tcPr>
                        <w:tcW w:w="1800" w:type="pct"/>
                        <w:vAlign w:val="top"/>
                      </w:tcPr>
                      <w:p>
                        <w:r>
                          <w:rPr>
                            <w:b/>
                          </w:rPr>
                          <w:t xml:space="preserve">ICD-10-AM (8th and 9th editions) diagnosis code</w:t>
                        </w:r>
                      </w:p>
                    </w:tc>
                    <w:tc>
                      <w:tcPr>
                        <w:tcW w:w="1650" w:type="pct"/>
                        <w:vAlign w:val="top"/>
                      </w:tcPr>
                      <w:p>
                        <w:r>
                          <w:rPr>
                            <w:b/>
                          </w:rPr>
                          <w:t xml:space="preserve">Description</w:t>
                        </w:r>
                      </w:p>
                    </w:tc>
                    <w:tc>
                      <w:tcPr>
                        <w:tcW w:w="1500" w:type="pct"/>
                        <w:vAlign w:val="top"/>
                      </w:tcPr>
                      <w:p>
                        <w:r>
                          <w:rPr>
                            <w:b/>
                          </w:rPr>
                          <w:t xml:space="preserve">Additional requirements</w:t>
                        </w:r>
                      </w:p>
                    </w:tc>
                  </w:tr>
                  <w:tr>
                    <w:trPr/>
                    <w:tc>
                      <w:tcPr>
                        <w:tcW w:w="1800" w:type="pct"/>
                        <w:vAlign w:val="top"/>
                      </w:tcPr>
                      <w:p>
                        <w:r>
                          <w:t xml:space="preserve">C73</w:t>
                        </w:r>
                      </w:p>
                    </w:tc>
                    <w:tc>
                      <w:tcPr>
                        <w:tcW w:w="1650" w:type="pct"/>
                        <w:vAlign w:val="top"/>
                      </w:tcPr>
                      <w:p>
                        <w:r>
                          <w:t xml:space="preserve">Malignant neoplasm of thyroid gland</w:t>
                        </w:r>
                      </w:p>
                    </w:tc>
                    <w:tc>
                      <w:tcPr>
                        <w:tcW w:w="1500" w:type="pct"/>
                        <w:vAlign w:val="top"/>
                      </w:tcPr>
                      <w:p>
                        <w:r>
                          <w:t xml:space="preserve">Principal diagnosis</w:t>
                        </w:r>
                      </w:p>
                    </w:tc>
                  </w:tr>
                </w:tbl>
                <w:p>
                  <w:r>
                    <w:t xml:space="preserve"> </w:t>
                  </w:r>
                </w:p>
                <w:p>
                  <w:r>
                    <w:rPr>
                      <w:b/>
                    </w:rPr>
                    <w:t xml:space="preserve">Inclusion codes, description and additional requirements for thyroidectomies for other neoplasm involving thyroid</w:t>
                  </w:r>
                </w:p>
                <w:tbl>
                  <w:tblPr>
                    <w:tblStyle w:val="InnerTable"/>
                    <w:tblW w:w="5000" w:type="pct"/>
                    <w:tblLayout w:type="autofit"/>
                  </w:tblPr>
                  <w:tblGrid>
                    <w:gridCol/>
                    <w:gridCol/>
                    <w:gridCol/>
                  </w:tblGrid>
                  <w:tr>
                    <w:trPr/>
                    <w:tc>
                      <w:tcPr>
                        <w:tcW w:w="1150" w:type="pct"/>
                        <w:vAlign w:val="top"/>
                      </w:tcPr>
                      <w:p>
                        <w:r>
                          <w:rPr>
                            <w:b/>
                          </w:rPr>
                          <w:t xml:space="preserve">ICD-10-AM (8th and 9th editions) diagnosis code</w:t>
                        </w:r>
                      </w:p>
                    </w:tc>
                    <w:tc>
                      <w:tcPr>
                        <w:tcW w:w="1300" w:type="pct"/>
                        <w:vAlign w:val="top"/>
                      </w:tcPr>
                      <w:p>
                        <w:r>
                          <w:rPr>
                            <w:b/>
                          </w:rPr>
                          <w:t xml:space="preserve">Description</w:t>
                        </w:r>
                      </w:p>
                    </w:tc>
                    <w:tc>
                      <w:tcPr>
                        <w:tcW w:w="2500" w:type="pct"/>
                        <w:vAlign w:val="top"/>
                      </w:tcPr>
                      <w:p>
                        <w:r>
                          <w:rPr>
                            <w:b/>
                          </w:rPr>
                          <w:t xml:space="preserve">Additional requirements</w:t>
                        </w:r>
                      </w:p>
                    </w:tc>
                  </w:tr>
                  <w:tr>
                    <w:trPr/>
                    <w:tc>
                      <w:tcPr>
                        <w:tcW w:w="1150" w:type="pct"/>
                        <w:vAlign w:val="top"/>
                      </w:tcPr>
                      <w:p>
                        <w:r>
                          <w:t xml:space="preserve">D09.3</w:t>
                        </w:r>
                      </w:p>
                    </w:tc>
                    <w:tc>
                      <w:tcPr>
                        <w:tcW w:w="1300" w:type="pct"/>
                        <w:vAlign w:val="top"/>
                      </w:tcPr>
                      <w:p>
                        <w:r>
                          <w:t xml:space="preserve">Carcinoma in situ of thyroid and other endocrine glands</w:t>
                        </w:r>
                      </w:p>
                    </w:tc>
                    <w:tc>
                      <w:tcPr>
                        <w:tcW w:w="2500" w:type="pct"/>
                        <w:vMerge w:val="restart"/>
                        <w:vAlign w:val="top"/>
                      </w:tcPr>
                      <w:p>
                        <w:r>
                          <w:t xml:space="preserve">Principal diagnosis</w:t>
                        </w:r>
                      </w:p>
                    </w:tc>
                  </w:tr>
                  <w:tr>
                    <w:trPr/>
                    <w:tc>
                      <w:tcPr>
                        <w:tcW w:w="1150" w:type="pct"/>
                        <w:vAlign w:val="top"/>
                      </w:tcPr>
                      <w:p>
                        <w:r>
                          <w:t xml:space="preserve">D34</w:t>
                        </w:r>
                      </w:p>
                    </w:tc>
                    <w:tc>
                      <w:tcPr>
                        <w:tcW w:w="1300" w:type="pct"/>
                        <w:vMerge/>
                      </w:tcPr>
                      <w:p/>
                    </w:tc>
                    <w:tc>
                      <w:tcPr>
                        <w:tcW w:w="2500" w:type="pct"/>
                        <w:vAlign w:val="top"/>
                      </w:tcPr>
                      <w:p>
                        <w:r>
                          <w:t xml:space="preserve">Benign neoplasm of thyroid gland</w:t>
                        </w:r>
                      </w:p>
                    </w:tc>
                  </w:tr>
                  <w:tr>
                    <w:trPr/>
                    <w:tc>
                      <w:tcPr>
                        <w:tcW w:w="1150" w:type="pct"/>
                        <w:vAlign w:val="top"/>
                      </w:tcPr>
                      <w:p>
                        <w:r>
                          <w:t xml:space="preserve">D44.0</w:t>
                        </w:r>
                      </w:p>
                    </w:tc>
                    <w:tc>
                      <w:tcPr>
                        <w:tcW w:w="1300" w:type="pct"/>
                        <w:vMerge/>
                      </w:tcPr>
                      <w:p/>
                    </w:tc>
                    <w:tc>
                      <w:tcPr>
                        <w:tcW w:w="2500" w:type="pct"/>
                        <w:vAlign w:val="top"/>
                      </w:tcPr>
                      <w:p>
                        <w:r>
                          <w:t xml:space="preserve">Neoplasm of uncertain or unknown behaviour of thyroid gland</w:t>
                        </w:r>
                      </w:p>
                    </w:tc>
                  </w:tr>
                </w:tbl>
                <w:p>
                  <w:r>
                    <w:t xml:space="preserve"> </w:t>
                  </w:r>
                </w:p>
                <w:p>
                  <w:r>
                    <w:rPr>
                      <w:b/>
                    </w:rPr>
                    <w:t xml:space="preserve">Inclusion codes, description and additional requirements for thyroidectomies for goitre</w:t>
                  </w:r>
                </w:p>
                <w:tbl>
                  <w:tblPr>
                    <w:tblStyle w:val="InnerTable"/>
                    <w:tblW w:w="5000" w:type="pct"/>
                    <w:tblLayout w:type="autofit"/>
                  </w:tblPr>
                  <w:tblGrid>
                    <w:gridCol/>
                    <w:gridCol/>
                    <w:gridCol/>
                  </w:tblGrid>
                  <w:tr>
                    <w:trPr/>
                    <w:tc>
                      <w:tcPr>
                        <w:tcW w:w="1450" w:type="pct"/>
                        <w:vAlign w:val="top"/>
                      </w:tcPr>
                      <w:p>
                        <w:r>
                          <w:rPr>
                            <w:b/>
                          </w:rPr>
                          <w:t xml:space="preserve">ICD-10-AM (8th and 9th editions) diagnosis code</w:t>
                        </w:r>
                      </w:p>
                    </w:tc>
                    <w:tc>
                      <w:tcPr>
                        <w:tcW w:w="1000" w:type="pct"/>
                        <w:vAlign w:val="top"/>
                      </w:tcPr>
                      <w:p>
                        <w:r>
                          <w:rPr>
                            <w:b/>
                          </w:rPr>
                          <w:t xml:space="preserve">Description</w:t>
                        </w:r>
                      </w:p>
                    </w:tc>
                    <w:tc>
                      <w:tcPr>
                        <w:tcW w:w="2500" w:type="pct"/>
                        <w:vAlign w:val="top"/>
                      </w:tcPr>
                      <w:p>
                        <w:r>
                          <w:rPr>
                            <w:b/>
                          </w:rPr>
                          <w:t xml:space="preserve">Additional requirements</w:t>
                        </w:r>
                      </w:p>
                    </w:tc>
                  </w:tr>
                  <w:tr>
                    <w:trPr/>
                    <w:tc>
                      <w:tcPr>
                        <w:tcW w:w="1450" w:type="pct"/>
                        <w:vAlign w:val="top"/>
                      </w:tcPr>
                      <w:p>
                        <w:r>
                          <w:t xml:space="preserve">E01.0</w:t>
                        </w:r>
                      </w:p>
                    </w:tc>
                    <w:tc>
                      <w:tcPr>
                        <w:tcW w:w="1000" w:type="pct"/>
                        <w:vAlign w:val="top"/>
                      </w:tcPr>
                      <w:p>
                        <w:r>
                          <w:t xml:space="preserve">Iodine-deficiency-related diffuse (endemic) goitre</w:t>
                        </w:r>
                      </w:p>
                    </w:tc>
                    <w:tc>
                      <w:tcPr>
                        <w:tcW w:w="2500" w:type="pct"/>
                        <w:vMerge w:val="restart"/>
                        <w:vAlign w:val="top"/>
                      </w:tcPr>
                      <w:p>
                        <w:r>
                          <w:t xml:space="preserve">Principal diagnosis</w:t>
                        </w:r>
                      </w:p>
                    </w:tc>
                  </w:tr>
                  <w:tr>
                    <w:trPr/>
                    <w:tc>
                      <w:tcPr>
                        <w:tcW w:w="1450" w:type="pct"/>
                        <w:vAlign w:val="top"/>
                      </w:tcPr>
                      <w:p>
                        <w:r>
                          <w:t xml:space="preserve">E01.1</w:t>
                        </w:r>
                      </w:p>
                    </w:tc>
                    <w:tc>
                      <w:tcPr>
                        <w:tcW w:w="1000" w:type="pct"/>
                        <w:vMerge/>
                      </w:tcPr>
                      <w:p/>
                    </w:tc>
                    <w:tc>
                      <w:tcPr>
                        <w:tcW w:w="2500" w:type="pct"/>
                        <w:vAlign w:val="top"/>
                      </w:tcPr>
                      <w:p>
                        <w:r>
                          <w:t xml:space="preserve">Iodine-deficiency-related multinodular (endemic) goitre</w:t>
                        </w:r>
                      </w:p>
                    </w:tc>
                  </w:tr>
                  <w:tr>
                    <w:trPr/>
                    <w:tc>
                      <w:tcPr>
                        <w:tcW w:w="1450" w:type="pct"/>
                        <w:vAlign w:val="top"/>
                      </w:tcPr>
                      <w:p>
                        <w:r>
                          <w:t xml:space="preserve">E01.2</w:t>
                        </w:r>
                      </w:p>
                    </w:tc>
                    <w:tc>
                      <w:tcPr>
                        <w:tcW w:w="1000" w:type="pct"/>
                        <w:vMerge/>
                      </w:tcPr>
                      <w:p/>
                    </w:tc>
                    <w:tc>
                      <w:tcPr>
                        <w:tcW w:w="2500" w:type="pct"/>
                        <w:vAlign w:val="top"/>
                      </w:tcPr>
                      <w:p>
                        <w:r>
                          <w:t xml:space="preserve">Iodine-deficiency-related (endemic) goitre, unspecified</w:t>
                        </w:r>
                      </w:p>
                    </w:tc>
                  </w:tr>
                  <w:tr>
                    <w:trPr/>
                    <w:tc>
                      <w:tcPr>
                        <w:tcW w:w="1450" w:type="pct"/>
                        <w:vAlign w:val="top"/>
                      </w:tcPr>
                      <w:p>
                        <w:r>
                          <w:t xml:space="preserve">E03.0</w:t>
                        </w:r>
                      </w:p>
                    </w:tc>
                    <w:tc>
                      <w:tcPr>
                        <w:tcW w:w="1000" w:type="pct"/>
                        <w:vMerge/>
                      </w:tcPr>
                      <w:p/>
                    </w:tc>
                    <w:tc>
                      <w:tcPr>
                        <w:tcW w:w="2500" w:type="pct"/>
                        <w:vAlign w:val="top"/>
                      </w:tcPr>
                      <w:p>
                        <w:r>
                          <w:t xml:space="preserve">Congenital hypothyroidism with diffuse goitre</w:t>
                        </w:r>
                      </w:p>
                    </w:tc>
                  </w:tr>
                  <w:tr>
                    <w:trPr/>
                    <w:tc>
                      <w:tcPr>
                        <w:tcW w:w="1450" w:type="pct"/>
                        <w:vAlign w:val="top"/>
                      </w:tcPr>
                      <w:p>
                        <w:r>
                          <w:t xml:space="preserve">E04.0</w:t>
                        </w:r>
                      </w:p>
                    </w:tc>
                    <w:tc>
                      <w:tcPr>
                        <w:tcW w:w="1000" w:type="pct"/>
                        <w:vMerge/>
                      </w:tcPr>
                      <w:p/>
                    </w:tc>
                    <w:tc>
                      <w:tcPr>
                        <w:tcW w:w="2500" w:type="pct"/>
                        <w:vAlign w:val="top"/>
                      </w:tcPr>
                      <w:p>
                        <w:r>
                          <w:t xml:space="preserve">Nontoxic diffuse goitre</w:t>
                        </w:r>
                      </w:p>
                    </w:tc>
                  </w:tr>
                  <w:tr>
                    <w:trPr/>
                    <w:tc>
                      <w:tcPr>
                        <w:tcW w:w="1450" w:type="pct"/>
                        <w:vAlign w:val="top"/>
                      </w:tcPr>
                      <w:p>
                        <w:r>
                          <w:t xml:space="preserve">E04.2</w:t>
                        </w:r>
                      </w:p>
                    </w:tc>
                    <w:tc>
                      <w:tcPr>
                        <w:tcW w:w="1000" w:type="pct"/>
                        <w:vMerge/>
                      </w:tcPr>
                      <w:p/>
                    </w:tc>
                    <w:tc>
                      <w:tcPr>
                        <w:tcW w:w="2500" w:type="pct"/>
                        <w:vAlign w:val="top"/>
                      </w:tcPr>
                      <w:p>
                        <w:r>
                          <w:t xml:space="preserve">Nontoxic multinodular goitre</w:t>
                        </w:r>
                      </w:p>
                    </w:tc>
                  </w:tr>
                  <w:tr>
                    <w:trPr/>
                    <w:tc>
                      <w:tcPr>
                        <w:tcW w:w="1450" w:type="pct"/>
                        <w:vAlign w:val="top"/>
                      </w:tcPr>
                      <w:p>
                        <w:r>
                          <w:t xml:space="preserve">E04.8</w:t>
                        </w:r>
                      </w:p>
                    </w:tc>
                    <w:tc>
                      <w:tcPr>
                        <w:tcW w:w="1000" w:type="pct"/>
                        <w:vMerge/>
                      </w:tcPr>
                      <w:p/>
                    </w:tc>
                    <w:tc>
                      <w:tcPr>
                        <w:tcW w:w="2500" w:type="pct"/>
                        <w:vAlign w:val="top"/>
                      </w:tcPr>
                      <w:p>
                        <w:r>
                          <w:t xml:space="preserve">Other specified nontoxic goitre</w:t>
                        </w:r>
                      </w:p>
                    </w:tc>
                  </w:tr>
                  <w:tr>
                    <w:trPr/>
                    <w:tc>
                      <w:tcPr>
                        <w:tcW w:w="1450" w:type="pct"/>
                        <w:vAlign w:val="top"/>
                      </w:tcPr>
                      <w:p>
                        <w:r>
                          <w:t xml:space="preserve">E04.9</w:t>
                        </w:r>
                      </w:p>
                    </w:tc>
                    <w:tc>
                      <w:tcPr>
                        <w:tcW w:w="1000" w:type="pct"/>
                        <w:vMerge/>
                      </w:tcPr>
                      <w:p/>
                    </w:tc>
                    <w:tc>
                      <w:tcPr>
                        <w:tcW w:w="2500" w:type="pct"/>
                        <w:vAlign w:val="top"/>
                      </w:tcPr>
                      <w:p>
                        <w:r>
                          <w:t xml:space="preserve">Nontoxic goitre, unspecified </w:t>
                        </w:r>
                      </w:p>
                    </w:tc>
                  </w:tr>
                  <w:tr>
                    <w:trPr/>
                    <w:tc>
                      <w:tcPr>
                        <w:tcW w:w="1450" w:type="pct"/>
                        <w:vAlign w:val="top"/>
                      </w:tcPr>
                      <w:p>
                        <w:r>
                          <w:t xml:space="preserve">E05.0</w:t>
                        </w:r>
                      </w:p>
                    </w:tc>
                    <w:tc>
                      <w:tcPr>
                        <w:tcW w:w="1000" w:type="pct"/>
                        <w:vMerge/>
                      </w:tcPr>
                      <w:p/>
                    </w:tc>
                    <w:tc>
                      <w:tcPr>
                        <w:tcW w:w="2500" w:type="pct"/>
                        <w:vAlign w:val="top"/>
                      </w:tcPr>
                      <w:p>
                        <w:r>
                          <w:t xml:space="preserve">Thyrotoxicosis with diffuse goitre</w:t>
                        </w:r>
                      </w:p>
                    </w:tc>
                  </w:tr>
                  <w:tr>
                    <w:trPr/>
                    <w:tc>
                      <w:tcPr>
                        <w:tcW w:w="1450" w:type="pct"/>
                        <w:vAlign w:val="top"/>
                      </w:tcPr>
                      <w:p>
                        <w:r>
                          <w:t xml:space="preserve">E05.2</w:t>
                        </w:r>
                      </w:p>
                    </w:tc>
                    <w:tc>
                      <w:tcPr>
                        <w:tcW w:w="1000" w:type="pct"/>
                        <w:vMerge/>
                      </w:tcPr>
                      <w:p/>
                    </w:tc>
                    <w:tc>
                      <w:tcPr>
                        <w:tcW w:w="2500" w:type="pct"/>
                        <w:vAlign w:val="top"/>
                      </w:tcPr>
                      <w:p>
                        <w:r>
                          <w:t xml:space="preserve">Thyrotoxicosis with toxic multinodular goitre</w:t>
                        </w:r>
                      </w:p>
                    </w:tc>
                  </w:tr>
                  <w:tr>
                    <w:trPr/>
                    <w:tc>
                      <w:tcPr>
                        <w:tcW w:w="1450" w:type="pct"/>
                        <w:vAlign w:val="top"/>
                      </w:tcPr>
                      <w:p>
                        <w:r>
                          <w:t xml:space="preserve">E07.1</w:t>
                        </w:r>
                      </w:p>
                    </w:tc>
                    <w:tc>
                      <w:tcPr>
                        <w:tcW w:w="1000" w:type="pct"/>
                        <w:vMerge/>
                      </w:tcPr>
                      <w:p/>
                    </w:tc>
                    <w:tc>
                      <w:tcPr>
                        <w:tcW w:w="2500" w:type="pct"/>
                        <w:vAlign w:val="top"/>
                      </w:tcPr>
                      <w:p>
                        <w:r>
                          <w:t xml:space="preserve">Dyshormogenetic goitre</w:t>
                        </w:r>
                      </w:p>
                    </w:tc>
                  </w:tr>
                </w:tbl>
                <w:p>
                  <w:r>
                    <w:t xml:space="preserve"> </w:t>
                  </w:r>
                </w:p>
              </w:tc>
            </w:tr>
            <w:tr>
              <w:trPr/>
              <w:tc>
                <w:tcPr>
                  <w:tcW w:w="500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thyroidectomy hospitalisations, 18 years and over, 2014–15 to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NMDS / DSS</w:t>
            </w:r>
          </w:p>
          <w:p>
            <w:hyperlink w:history="true" r:id="Rc43a4ee17ae642b3">
              <w:r>
                <w:rPr>
                  <w:rStyle w:val="Hyperlink"/>
                </w:rPr>
                <w:t xml:space="preserve">Admitted patient care NMDS 2015-16</w:t>
              </w:r>
            </w:hyperlink>
          </w:p>
          <w:p>
            <w:r>
              <w:rPr>
                <w:rStyle w:val="row-content"/>
                <w:b/>
                <w:color w:val="000000"/>
              </w:rPr>
              <w:t xml:space="preserve">Data Element / Data Set</w:t>
            </w:r>
          </w:p>
          <w:p>
            <w:hyperlink w:history="true" r:id="R0e1fcc9bdd8f426c">
              <w:r>
                <w:rPr>
                  <w:rStyle w:val="Hyperlink"/>
                </w:rPr>
                <w:t xml:space="preserve">Person—sex, code A</w:t>
              </w:r>
            </w:hyperlink>
          </w:p>
          <w:p>
            <w:r>
              <w:rPr>
                <w:rStyle w:val="row-content"/>
                <w:b/>
                <w:color w:val="000000"/>
              </w:rPr>
              <w:t xml:space="preserve">Data Element / Data Set</w:t>
            </w:r>
          </w:p>
          <w:p>
            <w:r>
              <w:rPr>
                <w:rStyle w:val="row-content"/>
                <w:b/>
              </w:rPr>
              <w:t xml:space="preserve">NMDS / DSS</w:t>
            </w:r>
          </w:p>
          <w:p>
            <w:hyperlink w:history="true" r:id="Rb462552095044c6d">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b/>
              </w:rPr>
              <w:t xml:space="preserve">Data Source</w:t>
            </w:r>
            <w:r>
              <w:br/>
            </w:r>
            <w:r>
              <w:rPr>
                <w:rStyle w:val="row-content"/>
              </w:rPr>
              <w:t xml:space="preserve">National Hospital Morbidity Database (NHMD) 2015-16 and 2016-17</w:t>
            </w:r>
          </w:p>
          <w:p>
            <w:r>
              <w:rPr>
                <w:rStyle w:val="row-content"/>
              </w:rPr>
              <w:t xml:space="preserve"> </w:t>
            </w:r>
          </w:p>
          <w:p>
            <w:r>
              <w:rPr>
                <w:rStyle w:val="row-content"/>
                <w:b/>
              </w:rPr>
              <w:t xml:space="preserve">Data Source</w:t>
            </w:r>
          </w:p>
          <w:p>
            <w:hyperlink w:history="true" r:id="R46cf2bf912b647db">
              <w:r>
                <w:rPr>
                  <w:rStyle w:val="Hyperlink"/>
                </w:rPr>
                <w:t xml:space="preserve">National Hospital Morbidity Database (NHMD)</w:t>
              </w:r>
            </w:hyperlink>
          </w:p>
          <w:p>
            <w:r>
              <w:rPr>
                <w:rStyle w:val="row-content"/>
                <w:b/>
                <w:color w:val="000000"/>
              </w:rPr>
              <w:t xml:space="preserve">Data Element / Data Set</w:t>
            </w:r>
          </w:p>
          <w:p>
            <w:hyperlink w:history="true" r:id="R4fb102931b3e49ac">
              <w:r>
                <w:rPr>
                  <w:rStyle w:val="Hyperlink"/>
                </w:rPr>
                <w:t xml:space="preserve">Person—date of birth, DDMMYYYY</w:t>
              </w:r>
            </w:hyperlink>
          </w:p>
          <w:p>
            <w:r>
              <w:rPr>
                <w:rStyle w:val="row-content"/>
                <w:b/>
              </w:rPr>
              <w:t xml:space="preserve">Data Source</w:t>
            </w:r>
          </w:p>
          <w:p>
            <w:hyperlink w:history="true" r:id="Rb3ef5be1dd2e47ac">
              <w:r>
                <w:rPr>
                  <w:rStyle w:val="Hyperlink"/>
                </w:rPr>
                <w:t xml:space="preserve">National Hospital Morbidity Database (NHMD)</w:t>
              </w:r>
            </w:hyperlink>
          </w:p>
          <w:p>
            <w:r>
              <w:rPr>
                <w:rStyle w:val="row-content"/>
                <w:b/>
                <w:color w:val="000000"/>
              </w:rPr>
              <w:t xml:space="preserve">Data Element / Data Set</w:t>
            </w:r>
          </w:p>
          <w:p>
            <w:hyperlink w:history="true" r:id="Rf188056e87784452">
              <w:r>
                <w:rPr>
                  <w:rStyle w:val="Hyperlink"/>
                </w:rPr>
                <w:t xml:space="preserve">Episode of admitted patient care—procedure, code (ACHI 8th edn) NNNNN-NN</w:t>
              </w:r>
            </w:hyperlink>
          </w:p>
          <w:p>
            <w:r>
              <w:rPr>
                <w:rStyle w:val="row-content"/>
                <w:b/>
                <w:color w:val="000000"/>
              </w:rPr>
              <w:t xml:space="preserve">Data Element / Data Set</w:t>
            </w:r>
          </w:p>
          <w:p>
            <w:hyperlink w:history="true" r:id="Rcc8aa538248e4d78">
              <w:r>
                <w:rPr>
                  <w:rStyle w:val="Hyperlink"/>
                </w:rPr>
                <w:t xml:space="preserve">Episode of care—principal diagnosis, code (ICD-10-AM 8th edn) ANN{.N[N]}</w:t>
              </w:r>
            </w:hyperlink>
          </w:p>
          <w:p>
            <w:r>
              <w:rPr>
                <w:rStyle w:val="row-content"/>
                <w:b/>
              </w:rPr>
              <w:t xml:space="preserve">Data Source</w:t>
            </w:r>
          </w:p>
          <w:p>
            <w:hyperlink w:history="true" r:id="R6aedd2157cdb486d">
              <w:r>
                <w:rPr>
                  <w:rStyle w:val="Hyperlink"/>
                </w:rPr>
                <w:t xml:space="preserve">National Hospital Morbidity Database (NHMD)</w:t>
              </w:r>
            </w:hyperlink>
          </w:p>
          <w:p>
            <w:r>
              <w:rPr>
                <w:rStyle w:val="row-content"/>
                <w:b/>
              </w:rPr>
              <w:t xml:space="preserve">NMDS / DSS</w:t>
            </w:r>
          </w:p>
          <w:p>
            <w:hyperlink w:history="true" r:id="Rebb0cc5aea484a67">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4b2cbdb243457e">
              <w:r>
                <w:rPr>
                  <w:rStyle w:val="Hyperlink"/>
                </w:rPr>
                <w:t xml:space="preserve">Hospital service—care type, code N[N]</w:t>
              </w:r>
            </w:hyperlink>
          </w:p>
          <w:p>
            <w:r>
              <w:rPr>
                <w:rStyle w:val="row-content"/>
                <w:b/>
                <w:color w:val="000000"/>
              </w:rPr>
              <w:t xml:space="preserve">Data Element / Data Set</w:t>
            </w:r>
          </w:p>
          <w:p>
            <w:hyperlink w:history="true" r:id="R446185b276f5440c">
              <w:r>
                <w:rPr>
                  <w:rStyle w:val="Hyperlink"/>
                </w:rPr>
                <w:t xml:space="preserve">Episode of care—principal diagnosis, code (ICD-10-AM 9th edn) ANN{.N[N]}</w:t>
              </w:r>
            </w:hyperlink>
          </w:p>
          <w:p>
            <w:r>
              <w:rPr>
                <w:rStyle w:val="row-content"/>
                <w:b/>
                <w:color w:val="000000"/>
              </w:rPr>
              <w:t xml:space="preserve">Data Element / Data Set</w:t>
            </w:r>
          </w:p>
          <w:p>
            <w:hyperlink w:history="true" r:id="R31ea393de6474059">
              <w:r>
                <w:rPr>
                  <w:rStyle w:val="Hyperlink"/>
                </w:rPr>
                <w:t xml:space="preserve">Episode of admitted patient care—procedure, code (ACHI 9th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2014, 30 June 2015 and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a224120499c44df">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b107689316374903">
              <w:r>
                <w:rPr>
                  <w:rStyle w:val="Hyperlink"/>
                </w:rPr>
                <w:t xml:space="preserve">Person—estimated resident population of Australia, total people N[N(7)]</w:t>
              </w:r>
            </w:hyperlink>
          </w:p>
          <w:p>
            <w:r>
              <w:rPr>
                <w:rStyle w:val="row-content"/>
                <w:b/>
              </w:rPr>
              <w:t xml:space="preserve">Data Source</w:t>
            </w:r>
          </w:p>
          <w:p>
            <w:hyperlink w:history="true" r:id="R12b06802b24f44f0">
              <w:r>
                <w:rPr>
                  <w:rStyle w:val="Hyperlink"/>
                </w:rPr>
                <w:t xml:space="preserve">ABS Australian Demographic Statistics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Main analysis</w:t>
                  </w:r>
                </w:p>
                <w:p>
                  <w:pPr>
                    <w:spacing w:after="160"/>
                  </w:pPr>
                  <w:r>
                    <w:rPr>
                      <w:rStyle w:val="row-content-rich-text"/>
                    </w:rPr>
                    <w:t xml:space="preserve">SA3 2016 by:</w:t>
                  </w:r>
                </w:p>
                <w:p>
                  <w:pPr>
                    <w:spacing w:after="160"/>
                  </w:pPr>
                  <w:r>
                    <w:rPr>
                      <w:rStyle w:val="row-content-rich-text"/>
                      <w:sz w:val="30"/>
                    </w:rPr>
                    <w:t xml:space="preserve">·</w:t>
                  </w:r>
                  <w:r>
                    <w:rPr>
                      <w:rStyle w:val="row-content-rich-text"/>
                    </w:rPr>
                    <w:t xml:space="preserve">         </w:t>
                  </w:r>
                  <w:r>
                    <w:rPr>
                      <w:rStyle w:val="row-content-rich-text"/>
                    </w:rPr>
                    <w:t xml:space="preserve">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 </w:t>
                  </w:r>
                </w:p>
                <w:p>
                  <w:pPr>
                    <w:spacing w:after="160"/>
                  </w:pPr>
                  <w:r>
                    <w:rPr>
                      <w:rStyle w:val="row-content-rich-text"/>
                      <w:sz w:val="30"/>
                    </w:rPr>
                    <w:t xml:space="preserve">·</w:t>
                  </w:r>
                  <w:r>
                    <w:rPr>
                      <w:rStyle w:val="row-content-rich-text"/>
                    </w:rPr>
                    <w:t xml:space="preserve">         </w:t>
                  </w:r>
                  <w:r>
                    <w:rPr>
                      <w:rStyle w:val="row-content-rich-text"/>
                    </w:rPr>
                    <w:t xml:space="preserve">Indigenous status</w:t>
                  </w:r>
                </w:p>
                <w:p>
                  <w:pPr>
                    <w:spacing w:after="160"/>
                  </w:pPr>
                  <w:r>
                    <w:rPr>
                      <w:rStyle w:val="row-content-rich-text"/>
                      <w:sz w:val="30"/>
                    </w:rPr>
                    <w:t xml:space="preserve">·</w:t>
                  </w:r>
                  <w:r>
                    <w:rPr>
                      <w:rStyle w:val="row-content-rich-text"/>
                    </w:rPr>
                    <w:t xml:space="preserve">         </w:t>
                  </w:r>
                  <w:r>
                    <w:rPr>
                      <w:rStyle w:val="row-content-rich-text"/>
                    </w:rPr>
                    <w:t xml:space="preserve">patient funding status</w:t>
                  </w:r>
                </w:p>
                <w:p>
                  <w:pPr>
                    <w:spacing w:after="160"/>
                  </w:pPr>
                  <w:r>
                    <w:rPr>
                      <w:rStyle w:val="row-content-rich-text"/>
                      <w:b/>
                    </w:rPr>
                    <w:t xml:space="preserve">Additional analysis</w:t>
                  </w:r>
                </w:p>
                <w:p>
                  <w:pPr>
                    <w:spacing w:after="160"/>
                  </w:pPr>
                  <w:r>
                    <w:rPr>
                      <w:rStyle w:val="row-content-rich-text"/>
                    </w:rPr>
                    <w:t xml:space="preserve">State and territory by: </w:t>
                  </w:r>
                </w:p>
                <w:p>
                  <w:pPr/>
                  <w:r>
                    <w:rPr>
                      <w:rStyle w:val="row-content-rich-text"/>
                      <w:sz w:val="30"/>
                    </w:rPr>
                    <w:t xml:space="preserve">·</w:t>
                  </w:r>
                  <w:r>
                    <w:rPr>
                      <w:rStyle w:val="row-content-rich-text"/>
                    </w:rPr>
                    <w:t xml:space="preserve">         </w:t>
                  </w:r>
                  <w:r>
                    <w:rPr>
                      <w:rStyle w:val="row-content-rich-text"/>
                    </w:rPr>
                    <w:t xml:space="preserve">principal diagnosis type (malignant neoplasm of thyroid, other neoplasm involving thyroid, goitre, and other)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b/>
                <w:color w:val="000000"/>
              </w:rPr>
              <w:t xml:space="preserve">Data Source</w:t>
            </w:r>
            <w:r>
              <w:br/>
            </w:r>
            <w:r>
              <w:rPr>
                <w:rStyle w:val="row-content"/>
              </w:rPr>
              <w:t xml:space="preserve">National Hospital Morbidity Database (NHMD) 2014-15 to 2016-17</w:t>
            </w:r>
          </w:p>
          <w:p>
            <w:r>
              <w:rPr>
                <w:rStyle w:val="row-content"/>
              </w:rPr>
              <w:t xml:space="preserve"> </w:t>
            </w:r>
          </w:p>
          <w:p>
            <w:r>
              <w:rPr>
                <w:rStyle w:val="row-content"/>
                <w:b/>
              </w:rPr>
              <w:t xml:space="preserve">Data Source</w:t>
            </w:r>
          </w:p>
          <w:p>
            <w:hyperlink w:history="true" r:id="Re95f3024869d4350">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f4bc6809224e11">
              <w:r>
                <w:rPr>
                  <w:rStyle w:val="Hyperlink"/>
                </w:rPr>
                <w:t xml:space="preserve">Establishment—sector, code N</w:t>
              </w:r>
            </w:hyperlink>
          </w:p>
          <w:p>
            <w:r>
              <w:rPr>
                <w:rStyle w:val="row-content"/>
                <w:b/>
              </w:rPr>
              <w:t xml:space="preserve">Data Source</w:t>
            </w:r>
          </w:p>
          <w:p>
            <w:hyperlink w:history="true" r:id="R4904dc50ef134aca">
              <w:r>
                <w:rPr>
                  <w:rStyle w:val="Hyperlink"/>
                </w:rPr>
                <w:t xml:space="preserve">National Hospital Morbidity Database (NHMD)</w:t>
              </w:r>
            </w:hyperlink>
          </w:p>
          <w:p>
            <w:r>
              <w:rPr>
                <w:rStyle w:val="row-content"/>
                <w:b/>
                <w:color w:val="000000"/>
              </w:rPr>
              <w:t xml:space="preserve">Data Element / Data Set</w:t>
            </w:r>
          </w:p>
          <w:p>
            <w:hyperlink w:history="true" r:id="Re8fc517cd35b4151">
              <w:r>
                <w:rPr>
                  <w:rStyle w:val="Hyperlink"/>
                </w:rPr>
                <w:t xml:space="preserve">Episode of admitted patient care—patient election status, code N</w:t>
              </w:r>
            </w:hyperlink>
          </w:p>
          <w:p>
            <w:r>
              <w:rPr>
                <w:rStyle w:val="row-content"/>
                <w:b/>
              </w:rPr>
              <w:t xml:space="preserve">Data Source</w:t>
            </w:r>
          </w:p>
          <w:p>
            <w:hyperlink w:history="true" r:id="R623481880a3b4ac1">
              <w:r>
                <w:rPr>
                  <w:rStyle w:val="Hyperlink"/>
                </w:rPr>
                <w:t xml:space="preserve">National Hospital Morbidity Database (NHMD)</w:t>
              </w:r>
            </w:hyperlink>
          </w:p>
          <w:p>
            <w:r>
              <w:rPr>
                <w:rStyle w:val="row-content"/>
                <w:b/>
                <w:color w:val="000000"/>
              </w:rPr>
              <w:t xml:space="preserve">Data Element / Data Set</w:t>
            </w:r>
          </w:p>
          <w:p>
            <w:hyperlink w:history="true" r:id="Rfb8c69e357af44ff">
              <w:r>
                <w:rPr>
                  <w:rStyle w:val="Hyperlink"/>
                </w:rPr>
                <w:t xml:space="preserve">Person—area of usual residence, statistical area level 2 (SA2) code (ASGS 2011) N(9)</w:t>
              </w:r>
            </w:hyperlink>
          </w:p>
          <w:p>
            <w:r>
              <w:rPr>
                <w:rStyle w:val="row-content"/>
                <w:b/>
              </w:rPr>
              <w:t xml:space="preserve">Data Source</w:t>
            </w:r>
          </w:p>
          <w:p>
            <w:hyperlink w:history="true" r:id="Re780286453fa456a">
              <w:r>
                <w:rPr>
                  <w:rStyle w:val="Hyperlink"/>
                </w:rPr>
                <w:t xml:space="preserve">National Hospital Morbidity Database (NHMD)</w:t>
              </w:r>
            </w:hyperlink>
          </w:p>
          <w:p>
            <w:r>
              <w:rPr>
                <w:rStyle w:val="row-content"/>
                <w:b/>
                <w:color w:val="000000"/>
              </w:rPr>
              <w:t xml:space="preserve">Data Element / Data Set</w:t>
            </w:r>
          </w:p>
          <w:p>
            <w:hyperlink w:history="true" r:id="R4286061e504b47f6">
              <w:r>
                <w:rPr>
                  <w:rStyle w:val="Hyperlink"/>
                </w:rPr>
                <w:t xml:space="preserve">Episode of care—principal diagnosis, code (ICD-10-AM 8th edn) ANN{.N[N]}</w:t>
              </w:r>
            </w:hyperlink>
          </w:p>
          <w:p>
            <w:r>
              <w:rPr>
                <w:rStyle w:val="row-content"/>
                <w:b/>
              </w:rPr>
              <w:t xml:space="preserve">Data Source</w:t>
            </w:r>
          </w:p>
          <w:p>
            <w:hyperlink w:history="true" r:id="R7b28658fea0947a1">
              <w:r>
                <w:rPr>
                  <w:rStyle w:val="Hyperlink"/>
                </w:rPr>
                <w:t xml:space="preserve">National Hospital Morbidity Database (NHMD)</w:t>
              </w:r>
            </w:hyperlink>
          </w:p>
          <w:p>
            <w:r>
              <w:rPr>
                <w:rStyle w:val="row-content"/>
                <w:b/>
                <w:color w:val="000000"/>
              </w:rPr>
              <w:t xml:space="preserve">Data Element / Data Set</w:t>
            </w:r>
          </w:p>
          <w:p>
            <w:hyperlink w:history="true" r:id="R96f878c532a149b1">
              <w:r>
                <w:rPr>
                  <w:rStyle w:val="Hyperlink"/>
                </w:rPr>
                <w:t xml:space="preserve">Episode of care—principal diagnosis, code (ICD-10-AM 9th edn) ANN{.N[N]}</w:t>
              </w:r>
            </w:hyperlink>
          </w:p>
          <w:p>
            <w:r>
              <w:rPr>
                <w:rStyle w:val="row-content"/>
                <w:b/>
              </w:rPr>
              <w:t xml:space="preserve">Data Source</w:t>
            </w:r>
          </w:p>
          <w:p>
            <w:hyperlink w:history="true" r:id="Rcafde181db254502">
              <w:r>
                <w:rPr>
                  <w:rStyle w:val="Hyperlink"/>
                </w:rPr>
                <w:t xml:space="preserve">National Hospital Morbidity Database (NHMD)</w:t>
              </w:r>
            </w:hyperlink>
          </w:p>
          <w:p>
            <w:r>
              <w:rPr>
                <w:rStyle w:val="row-content"/>
                <w:b/>
                <w:color w:val="000000"/>
              </w:rPr>
              <w:t xml:space="preserve">Data Element / Data Set</w:t>
            </w:r>
          </w:p>
          <w:p>
            <w:hyperlink w:history="true" r:id="R3d782d96e22f4cf3">
              <w:r>
                <w:rPr>
                  <w:rStyle w:val="Hyperlink"/>
                </w:rPr>
                <w:t xml:space="preserve">Person—Indigenous status, code N</w:t>
              </w:r>
            </w:hyperlink>
          </w:p>
          <w:p>
            <w:r>
              <w:rPr>
                <w:rStyle w:val="row-content"/>
                <w:b/>
              </w:rPr>
              <w:t xml:space="preserve">Data Source</w:t>
            </w:r>
          </w:p>
          <w:p>
            <w:hyperlink w:history="true" r:id="Rb0b8d7898280438d">
              <w:r>
                <w:rPr>
                  <w:rStyle w:val="Hyperlink"/>
                </w:rPr>
                <w:t xml:space="preserve">National Hospital Morbidity Database (NHMD)</w:t>
              </w:r>
            </w:hyperlink>
          </w:p>
          <w:p>
            <w:r>
              <w:rPr>
                <w:rStyle w:val="row-content"/>
                <w:b/>
                <w:color w:val="000000"/>
              </w:rPr>
              <w:t xml:space="preserve">Data Element / Data Set</w:t>
            </w:r>
          </w:p>
          <w:p>
            <w:hyperlink w:history="true" r:id="R1610354960884b76">
              <w:r>
                <w:rPr>
                  <w:rStyle w:val="Hyperlink"/>
                </w:rPr>
                <w:t xml:space="preserve">Episode of care—source of funding, patient funding source code NN</w:t>
              </w:r>
            </w:hyperlink>
          </w:p>
          <w:p>
            <w:r>
              <w:rPr>
                <w:rStyle w:val="row-content"/>
                <w:b/>
              </w:rPr>
              <w:t xml:space="preserve">Data Source</w:t>
            </w:r>
          </w:p>
          <w:p>
            <w:hyperlink w:history="true" r:id="R25f1e05b2b994033">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6ab00cd39e41eb">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8d9f0232d50471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111f1532cbd43ff">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 </w:t>
            </w:r>
          </w:p>
          <w:p>
            <w:pPr>
              <w:spacing w:after="160"/>
            </w:pPr>
            <w:r>
              <w:rPr>
                <w:rStyle w:val="row-content-rich-text"/>
                <w:color w:val="000000"/>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color w:val="000000"/>
              </w:rPr>
              <w:t xml:space="preserve">  </w:t>
            </w:r>
          </w:p>
          <w:p>
            <w:pPr>
              <w:spacing w:after="160"/>
            </w:pPr>
            <w:r>
              <w:rPr>
                <w:rStyle w:val="row-content-rich-text"/>
              </w:rPr>
              <w:t xml:space="preserve"> </w:t>
            </w:r>
          </w:p>
          <w:p>
            <w:pPr/>
            <w:r>
              <w:rPr>
                <w:rStyle w:val="row-content-rich-text"/>
              </w:rPr>
              <w:t xml:space="preserve">ACHI and ICD-10-AM 8th editions were used for 2014–15 data and ACHI and ICD-10-AM 9th editions were used for 2015–16 and 2016–17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w:t>
            </w:r>
            <w:r>
              <w:rPr>
                <w:rStyle w:val="row-content-rich-text"/>
                <w:i/>
              </w:rPr>
              <w:t xml:space="preserve">Australian </w:t>
            </w:r>
            <w:r>
              <w:rPr>
                <w:rStyle w:val="row-content-rich-text"/>
                <w:i/>
              </w:rPr>
              <w:t xml:space="preserve">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df6a4f6f17cf4f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709436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7cbf3192504b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6a4f6f17cf4ff2" /><Relationship Type="http://schemas.openxmlformats.org/officeDocument/2006/relationships/header" Target="/word/header1.xml" Id="R18397594d4ac4523" /><Relationship Type="http://schemas.openxmlformats.org/officeDocument/2006/relationships/settings" Target="/word/settings.xml" Id="Re4223a7183fe460b" /><Relationship Type="http://schemas.openxmlformats.org/officeDocument/2006/relationships/styles" Target="/word/styles.xml" Id="Rc51fef934c2c4c12" /><Relationship Type="http://schemas.openxmlformats.org/officeDocument/2006/relationships/hyperlink" Target="https://meteor.aihw.gov.au/RegistrationAuthority/18" TargetMode="External" Id="R1d9242d42ded40d2" /><Relationship Type="http://schemas.openxmlformats.org/officeDocument/2006/relationships/hyperlink" Target="https://meteor.aihw.gov.au/content/708955" TargetMode="External" Id="Rccaa7f3121ae47c1" /><Relationship Type="http://schemas.openxmlformats.org/officeDocument/2006/relationships/hyperlink" Target="https://meteor.aihw.gov.au/RegistrationAuthority/18" TargetMode="External" Id="R43cff51b46d94843" /><Relationship Type="http://schemas.openxmlformats.org/officeDocument/2006/relationships/hyperlink" Target="https://meteor.aihw.gov.au/content/327276" TargetMode="External" Id="Rba439aedc71f4216" /><Relationship Type="http://schemas.openxmlformats.org/officeDocument/2006/relationships/hyperlink" Target="https://www.safetyandquality.gov.au/wp-content/uploads/2018/12/Text-Technical-supplement.pdf" TargetMode="External" Id="R3d96cd8db4fe49c0" /><Relationship Type="http://schemas.openxmlformats.org/officeDocument/2006/relationships/hyperlink" Target="https://meteor.aihw.gov.au/content/588909" TargetMode="External" Id="Rc43a4ee17ae642b3" /><Relationship Type="http://schemas.openxmlformats.org/officeDocument/2006/relationships/hyperlink" Target="https://meteor.aihw.gov.au/content/602450" TargetMode="External" Id="R0e1fcc9bdd8f426c" /><Relationship Type="http://schemas.openxmlformats.org/officeDocument/2006/relationships/hyperlink" Target="https://meteor.aihw.gov.au/content/612171" TargetMode="External" Id="Rb462552095044c6d" /><Relationship Type="http://schemas.openxmlformats.org/officeDocument/2006/relationships/hyperlink" Target="https://meteor.aihw.gov.au/content/394352" TargetMode="External" Id="R46cf2bf912b647db" /><Relationship Type="http://schemas.openxmlformats.org/officeDocument/2006/relationships/hyperlink" Target="https://meteor.aihw.gov.au/content/287007" TargetMode="External" Id="R4fb102931b3e49ac" /><Relationship Type="http://schemas.openxmlformats.org/officeDocument/2006/relationships/hyperlink" Target="https://meteor.aihw.gov.au/content/394352" TargetMode="External" Id="Rb3ef5be1dd2e47ac" /><Relationship Type="http://schemas.openxmlformats.org/officeDocument/2006/relationships/hyperlink" Target="https://meteor.aihw.gov.au/content/514040" TargetMode="External" Id="Rf188056e87784452" /><Relationship Type="http://schemas.openxmlformats.org/officeDocument/2006/relationships/hyperlink" Target="https://meteor.aihw.gov.au/content/514273" TargetMode="External" Id="Rcc8aa538248e4d78" /><Relationship Type="http://schemas.openxmlformats.org/officeDocument/2006/relationships/hyperlink" Target="https://meteor.aihw.gov.au/content/394352" TargetMode="External" Id="R6aedd2157cdb486d" /><Relationship Type="http://schemas.openxmlformats.org/officeDocument/2006/relationships/hyperlink" Target="https://meteor.aihw.gov.au/content/535047" TargetMode="External" Id="Rebb0cc5aea484a67" /><Relationship Type="http://schemas.openxmlformats.org/officeDocument/2006/relationships/hyperlink" Target="https://meteor.aihw.gov.au/content/584408" TargetMode="External" Id="Rc84b2cbdb243457e" /><Relationship Type="http://schemas.openxmlformats.org/officeDocument/2006/relationships/hyperlink" Target="https://meteor.aihw.gov.au/content/588987" TargetMode="External" Id="R446185b276f5440c" /><Relationship Type="http://schemas.openxmlformats.org/officeDocument/2006/relationships/hyperlink" Target="https://meteor.aihw.gov.au/content/589101" TargetMode="External" Id="R31ea393de6474059" /><Relationship Type="http://schemas.openxmlformats.org/officeDocument/2006/relationships/hyperlink" Target="https://meteor.aihw.gov.au/content/585844" TargetMode="External" Id="Rfa224120499c44df" /><Relationship Type="http://schemas.openxmlformats.org/officeDocument/2006/relationships/hyperlink" Target="https://meteor.aihw.gov.au/content/388656" TargetMode="External" Id="Rb107689316374903" /><Relationship Type="http://schemas.openxmlformats.org/officeDocument/2006/relationships/hyperlink" Target="https://meteor.aihw.gov.au/content/657459" TargetMode="External" Id="R12b06802b24f44f0" /><Relationship Type="http://schemas.openxmlformats.org/officeDocument/2006/relationships/hyperlink" Target="https://meteor.aihw.gov.au/content/394352" TargetMode="External" Id="Re95f3024869d4350" /><Relationship Type="http://schemas.openxmlformats.org/officeDocument/2006/relationships/hyperlink" Target="https://meteor.aihw.gov.au/content/269977" TargetMode="External" Id="R82f4bc6809224e11" /><Relationship Type="http://schemas.openxmlformats.org/officeDocument/2006/relationships/hyperlink" Target="https://meteor.aihw.gov.au/content/394352" TargetMode="External" Id="R4904dc50ef134aca" /><Relationship Type="http://schemas.openxmlformats.org/officeDocument/2006/relationships/hyperlink" Target="https://meteor.aihw.gov.au/content/326619" TargetMode="External" Id="Re8fc517cd35b4151" /><Relationship Type="http://schemas.openxmlformats.org/officeDocument/2006/relationships/hyperlink" Target="https://meteor.aihw.gov.au/content/394352" TargetMode="External" Id="R623481880a3b4ac1" /><Relationship Type="http://schemas.openxmlformats.org/officeDocument/2006/relationships/hyperlink" Target="https://meteor.aihw.gov.au/content/469909" TargetMode="External" Id="Rfb8c69e357af44ff" /><Relationship Type="http://schemas.openxmlformats.org/officeDocument/2006/relationships/hyperlink" Target="https://meteor.aihw.gov.au/content/394352" TargetMode="External" Id="Re780286453fa456a" /><Relationship Type="http://schemas.openxmlformats.org/officeDocument/2006/relationships/hyperlink" Target="https://meteor.aihw.gov.au/content/514273" TargetMode="External" Id="R4286061e504b47f6" /><Relationship Type="http://schemas.openxmlformats.org/officeDocument/2006/relationships/hyperlink" Target="https://meteor.aihw.gov.au/content/394352" TargetMode="External" Id="R7b28658fea0947a1" /><Relationship Type="http://schemas.openxmlformats.org/officeDocument/2006/relationships/hyperlink" Target="https://meteor.aihw.gov.au/content/588987" TargetMode="External" Id="R96f878c532a149b1" /><Relationship Type="http://schemas.openxmlformats.org/officeDocument/2006/relationships/hyperlink" Target="https://meteor.aihw.gov.au/content/394352" TargetMode="External" Id="Rcafde181db254502" /><Relationship Type="http://schemas.openxmlformats.org/officeDocument/2006/relationships/hyperlink" Target="https://meteor.aihw.gov.au/content/602543" TargetMode="External" Id="R3d782d96e22f4cf3" /><Relationship Type="http://schemas.openxmlformats.org/officeDocument/2006/relationships/hyperlink" Target="https://meteor.aihw.gov.au/content/394352" TargetMode="External" Id="Rb0b8d7898280438d" /><Relationship Type="http://schemas.openxmlformats.org/officeDocument/2006/relationships/hyperlink" Target="https://meteor.aihw.gov.au/content/649391" TargetMode="External" Id="R1610354960884b76" /><Relationship Type="http://schemas.openxmlformats.org/officeDocument/2006/relationships/hyperlink" Target="https://meteor.aihw.gov.au/content/394352" TargetMode="External" Id="R25f1e05b2b994033" /><Relationship Type="http://schemas.openxmlformats.org/officeDocument/2006/relationships/hyperlink" Target="https://meteor.aihw.gov.au/content/585844" TargetMode="External" Id="R2a6ab00cd39e41eb" /><Relationship Type="http://schemas.openxmlformats.org/officeDocument/2006/relationships/hyperlink" Target="https://meteor.aihw.gov.au/content/394352" TargetMode="External" Id="Rc8d9f0232d50471c" /><Relationship Type="http://schemas.openxmlformats.org/officeDocument/2006/relationships/hyperlink" Target="https://meteor.aihw.gov.au/content/657459" TargetMode="External" Id="R2111f1532cbd43ff" /></Relationships>
</file>

<file path=word/_rels/header1.xml.rels>&#65279;<?xml version="1.0" encoding="utf-8"?><Relationships xmlns="http://schemas.openxmlformats.org/package/2006/relationships"><Relationship Type="http://schemas.openxmlformats.org/officeDocument/2006/relationships/image" Target="/media/image.png" Id="R257cbf3192504ba9" /></Relationships>
</file>