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eb7f526e9412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antibiotic medicines per 100,000 children aged 9 years and under,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antibiotic medicines per 100,000 children aged 9 years and under,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Antibiotic medicines dispensing for children, 9 years and under,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d007bc55c43a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antibiotic medicines per 100,000 children aged 9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45ae06739342de">
              <w:r>
                <w:rPr>
                  <w:rStyle w:val="Hyperlink"/>
                </w:rPr>
                <w:t xml:space="preserve">Australian Atlas of Healthcare Variation 2018</w:t>
              </w:r>
            </w:hyperlink>
          </w:p>
          <w:p>
            <w:pPr>
              <w:spacing w:before="0" w:after="0"/>
            </w:pPr>
            <w:r>
              <w:rPr>
                <w:rStyle w:val="row-content"/>
                <w:color w:val="244061"/>
              </w:rPr>
              <w:t xml:space="preserve">       </w:t>
            </w:r>
            <w:hyperlink w:history="true" r:id="R0f2f7d1f3cfe444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45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rPr>
                          <w:t xml:space="preserve">ATC) Code</w:t>
                        </w:r>
                      </w:p>
                    </w:tc>
                    <w:tc>
                      <w:tcPr>
                        <w:tcW w:w="2250" w:type="pct"/>
                        <w:vAlign w:val="top"/>
                      </w:tcPr>
                      <w:p>
                        <w:r>
                          <w:rPr>
                            <w:b/>
                          </w:rPr>
                          <w:t xml:space="preserve">Description (Drug Name)</w:t>
                        </w:r>
                      </w:p>
                    </w:tc>
                    <w:tc>
                      <w:tcPr>
                        <w:tcW w:w="200" w:type="pct"/>
                        <w:vAlign w:val="top"/>
                      </w:tcPr>
                      <w:p>
                        <w:r>
                          <w:rPr>
                            <w:b/>
                          </w:rPr>
                          <w:t xml:space="preserve">Comments</w:t>
                        </w:r>
                      </w:p>
                    </w:tc>
                  </w:tr>
                  <w:tr>
                    <w:trPr/>
                    <w:tc>
                      <w:tcPr>
                        <w:tcW w:w="2450" w:type="pct"/>
                        <w:gridSpan w:val="3"/>
                        <w:vAlign w:val="top"/>
                      </w:tcPr>
                      <w:p>
                        <w:r>
                          <w:t xml:space="preserve">J01 – Antibacterials for systemic use</w:t>
                        </w:r>
                      </w:p>
                    </w:tc>
                  </w:tr>
                  <w:tr>
                    <w:trPr/>
                    <w:tc>
                      <w:tcPr>
                        <w:tcW w:w="2450" w:type="pct"/>
                        <w:vMerge w:val="restart"/>
                        <w:vAlign w:val="top"/>
                      </w:tcPr>
                      <w:p>
                        <w:r>
                          <w:t xml:space="preserve">J01AA - Tetracyclines</w:t>
                        </w:r>
                      </w:p>
                    </w:tc>
                    <w:tc>
                      <w:tcPr>
                        <w:tcW w:w="2250" w:type="pct"/>
                        <w:vAlign w:val="top"/>
                      </w:tcPr>
                      <w:p>
                        <w:r>
                          <w:t xml:space="preserve">DOXYCYCLINE</w:t>
                        </w:r>
                      </w:p>
                    </w:tc>
                    <w:tc>
                      <w:tcPr>
                        <w:tcW w:w="200" w:type="pct"/>
                        <w:vAlign w:val="top"/>
                      </w:tcPr>
                      <w:p>
                        <w:r>
                          <w:t xml:space="preserve"> </w:t>
                        </w:r>
                      </w:p>
                    </w:tc>
                  </w:tr>
                  <w:tr>
                    <w:trPr/>
                    <w:tc>
                      <w:tcPr>
                        <w:tcW w:w="2450" w:type="pct"/>
                        <w:vMerge/>
                      </w:tcPr>
                      <w:p/>
                    </w:tc>
                    <w:tc>
                      <w:tcPr>
                        <w:tcW w:w="2250" w:type="pct"/>
                        <w:vAlign w:val="top"/>
                      </w:tcPr>
                      <w:p>
                        <w:r>
                          <w:t xml:space="preserve">MINOCYCLINE</w:t>
                        </w:r>
                      </w:p>
                    </w:tc>
                    <w:tc>
                      <w:tcPr>
                        <w:tcW w:w="200" w:type="pct"/>
                        <w:vAlign w:val="top"/>
                      </w:tcPr>
                      <w:p>
                        <w:r>
                          <w:t xml:space="preserve"> </w:t>
                        </w:r>
                      </w:p>
                    </w:tc>
                  </w:tr>
                  <w:tr>
                    <w:trPr/>
                    <w:tc>
                      <w:tcPr>
                        <w:tcW w:w="2450" w:type="pct"/>
                        <w:vMerge w:val="restart"/>
                        <w:vAlign w:val="top"/>
                      </w:tcPr>
                      <w:p>
                        <w:r>
                          <w:t xml:space="preserve">J01CA - Penicillins with extended spectrum</w:t>
                        </w:r>
                      </w:p>
                    </w:tc>
                    <w:tc>
                      <w:tcPr>
                        <w:tcW w:w="2250" w:type="pct"/>
                        <w:vAlign w:val="top"/>
                      </w:tcPr>
                      <w:p>
                        <w:r>
                          <w:t xml:space="preserve">AMOXICILLIN</w:t>
                        </w:r>
                      </w:p>
                    </w:tc>
                    <w:tc>
                      <w:tcPr>
                        <w:tcW w:w="200" w:type="pct"/>
                        <w:vAlign w:val="top"/>
                      </w:tcPr>
                      <w:p>
                        <w:r>
                          <w:t xml:space="preserve"> </w:t>
                        </w:r>
                      </w:p>
                    </w:tc>
                  </w:tr>
                  <w:tr>
                    <w:trPr/>
                    <w:tc>
                      <w:tcPr>
                        <w:tcW w:w="2450" w:type="pct"/>
                        <w:vMerge/>
                      </w:tcPr>
                      <w:p/>
                    </w:tc>
                    <w:tc>
                      <w:tcPr>
                        <w:tcW w:w="2250" w:type="pct"/>
                        <w:vAlign w:val="top"/>
                      </w:tcPr>
                      <w:p>
                        <w:r>
                          <w:t xml:space="preserve">AMPICILLIN</w:t>
                        </w:r>
                      </w:p>
                    </w:tc>
                    <w:tc>
                      <w:tcPr>
                        <w:tcW w:w="200" w:type="pct"/>
                        <w:vAlign w:val="top"/>
                      </w:tcPr>
                      <w:p>
                        <w:r>
                          <w:t xml:space="preserve"> </w:t>
                        </w:r>
                      </w:p>
                    </w:tc>
                  </w:tr>
                  <w:tr>
                    <w:trPr/>
                    <w:tc>
                      <w:tcPr>
                        <w:tcW w:w="2450" w:type="pct"/>
                        <w:vMerge w:val="restart"/>
                        <w:vAlign w:val="top"/>
                      </w:tcPr>
                      <w:p>
                        <w:r>
                          <w:t xml:space="preserve">J01CE - Beta-lactamase sensitive penicillins</w:t>
                        </w:r>
                      </w:p>
                    </w:tc>
                    <w:tc>
                      <w:tcPr>
                        <w:tcW w:w="2250" w:type="pct"/>
                        <w:vAlign w:val="top"/>
                      </w:tcPr>
                      <w:p>
                        <w:r>
                          <w:t xml:space="preserve">BENZATHINE BENZYLPENICILLIN</w:t>
                        </w:r>
                      </w:p>
                    </w:tc>
                    <w:tc>
                      <w:tcPr>
                        <w:tcW w:w="200" w:type="pct"/>
                        <w:vAlign w:val="top"/>
                      </w:tcPr>
                      <w:p>
                        <w:r>
                          <w:t xml:space="preserve"> </w:t>
                        </w:r>
                      </w:p>
                    </w:tc>
                  </w:tr>
                  <w:tr>
                    <w:trPr/>
                    <w:tc>
                      <w:tcPr>
                        <w:tcW w:w="2450" w:type="pct"/>
                        <w:vMerge/>
                      </w:tcPr>
                      <w:p/>
                    </w:tc>
                    <w:tc>
                      <w:tcPr>
                        <w:tcW w:w="2250" w:type="pct"/>
                        <w:vAlign w:val="top"/>
                      </w:tcPr>
                      <w:p>
                        <w:r>
                          <w:t xml:space="preserve">BENZYLPENICILLIN</w:t>
                        </w:r>
                      </w:p>
                    </w:tc>
                    <w:tc>
                      <w:tcPr>
                        <w:tcW w:w="200" w:type="pct"/>
                        <w:vAlign w:val="top"/>
                      </w:tcPr>
                      <w:p>
                        <w:r>
                          <w:t xml:space="preserve"> </w:t>
                        </w:r>
                      </w:p>
                    </w:tc>
                  </w:tr>
                  <w:tr>
                    <w:trPr/>
                    <w:tc>
                      <w:tcPr>
                        <w:tcW w:w="2450" w:type="pct"/>
                        <w:vMerge/>
                      </w:tcPr>
                      <w:p/>
                    </w:tc>
                    <w:tc>
                      <w:tcPr>
                        <w:tcW w:w="2250" w:type="pct"/>
                        <w:vAlign w:val="top"/>
                      </w:tcPr>
                      <w:p>
                        <w:r>
                          <w:t xml:space="preserve">PHENOXYMETHYLPENICILLIN</w:t>
                        </w:r>
                      </w:p>
                    </w:tc>
                    <w:tc>
                      <w:tcPr>
                        <w:tcW w:w="200" w:type="pct"/>
                        <w:vAlign w:val="top"/>
                      </w:tcPr>
                      <w:p>
                        <w:r>
                          <w:t xml:space="preserve"> </w:t>
                        </w:r>
                      </w:p>
                    </w:tc>
                  </w:tr>
                  <w:tr>
                    <w:trPr/>
                    <w:tc>
                      <w:tcPr>
                        <w:tcW w:w="2450" w:type="pct"/>
                        <w:vMerge/>
                      </w:tcPr>
                      <w:p/>
                    </w:tc>
                    <w:tc>
                      <w:tcPr>
                        <w:tcW w:w="2250" w:type="pct"/>
                        <w:vAlign w:val="top"/>
                      </w:tcPr>
                      <w:p>
                        <w:r>
                          <w:t xml:space="preserve">PROCAINE BENZYLPENICILLIN (PROCAINE PENICILLIN)</w:t>
                        </w:r>
                      </w:p>
                    </w:tc>
                    <w:tc>
                      <w:tcPr>
                        <w:tcW w:w="200" w:type="pct"/>
                        <w:vAlign w:val="top"/>
                      </w:tcPr>
                      <w:p>
                        <w:r>
                          <w:t xml:space="preserve"> </w:t>
                        </w:r>
                      </w:p>
                    </w:tc>
                  </w:tr>
                  <w:tr>
                    <w:trPr/>
                    <w:tc>
                      <w:tcPr>
                        <w:tcW w:w="2450" w:type="pct"/>
                        <w:vMerge w:val="restart"/>
                        <w:vAlign w:val="top"/>
                      </w:tcPr>
                      <w:p>
                        <w:r>
                          <w:t xml:space="preserve">J01CF - Beta-lactamase resistant penicillins</w:t>
                        </w:r>
                      </w:p>
                    </w:tc>
                    <w:tc>
                      <w:tcPr>
                        <w:tcW w:w="2250" w:type="pct"/>
                        <w:vAlign w:val="top"/>
                      </w:tcPr>
                      <w:p>
                        <w:r>
                          <w:t xml:space="preserve">DICLOXACILLIN</w:t>
                        </w:r>
                      </w:p>
                    </w:tc>
                    <w:tc>
                      <w:tcPr>
                        <w:tcW w:w="200" w:type="pct"/>
                        <w:vAlign w:val="top"/>
                      </w:tcPr>
                      <w:p>
                        <w:r>
                          <w:t xml:space="preserve"> </w:t>
                        </w:r>
                      </w:p>
                    </w:tc>
                  </w:tr>
                  <w:tr>
                    <w:trPr/>
                    <w:tc>
                      <w:tcPr>
                        <w:tcW w:w="2450" w:type="pct"/>
                        <w:vMerge/>
                      </w:tcPr>
                      <w:p/>
                    </w:tc>
                    <w:tc>
                      <w:tcPr>
                        <w:tcW w:w="2250" w:type="pct"/>
                        <w:vAlign w:val="top"/>
                      </w:tcPr>
                      <w:p>
                        <w:r>
                          <w:t xml:space="preserve">FLUCLOXACILLIN</w:t>
                        </w:r>
                      </w:p>
                    </w:tc>
                    <w:tc>
                      <w:tcPr>
                        <w:tcW w:w="200" w:type="pct"/>
                        <w:vAlign w:val="top"/>
                      </w:tcPr>
                      <w:p>
                        <w:r>
                          <w:t xml:space="preserve"> </w:t>
                        </w:r>
                      </w:p>
                    </w:tc>
                  </w:tr>
                  <w:tr>
                    <w:trPr/>
                    <w:tc>
                      <w:tcPr>
                        <w:tcW w:w="2450" w:type="pct"/>
                        <w:vMerge w:val="restart"/>
                        <w:vAlign w:val="top"/>
                      </w:tcPr>
                      <w:p>
                        <w:r>
                          <w:t xml:space="preserve">J01CR - Combinations of penicillins, incl. beta-lactamase inhibitors</w:t>
                        </w:r>
                      </w:p>
                    </w:tc>
                    <w:tc>
                      <w:tcPr>
                        <w:tcW w:w="2250" w:type="pct"/>
                        <w:vAlign w:val="top"/>
                      </w:tcPr>
                      <w:p>
                        <w:r>
                          <w:t xml:space="preserve">AMOXICILLIN + CLAVULANIC ACID</w:t>
                        </w:r>
                      </w:p>
                    </w:tc>
                    <w:tc>
                      <w:tcPr>
                        <w:tcW w:w="200" w:type="pct"/>
                        <w:vAlign w:val="top"/>
                      </w:tcPr>
                      <w:p>
                        <w:r>
                          <w:t xml:space="preserve"> </w:t>
                        </w:r>
                      </w:p>
                    </w:tc>
                  </w:tr>
                  <w:tr>
                    <w:trPr/>
                    <w:tc>
                      <w:tcPr>
                        <w:tcW w:w="2450" w:type="pct"/>
                        <w:vMerge/>
                      </w:tcPr>
                      <w:p/>
                    </w:tc>
                    <w:tc>
                      <w:tcPr>
                        <w:tcW w:w="2250" w:type="pct"/>
                        <w:vAlign w:val="top"/>
                      </w:tcPr>
                      <w:p>
                        <w:r>
                          <w:t xml:space="preserve">TICARCILLIN + CLAVULANIC ACID</w:t>
                        </w:r>
                      </w:p>
                    </w:tc>
                    <w:tc>
                      <w:tcPr>
                        <w:tcW w:w="200" w:type="pct"/>
                        <w:vAlign w:val="top"/>
                      </w:tcPr>
                      <w:p>
                        <w:r>
                          <w:t xml:space="preserve"> </w:t>
                        </w:r>
                      </w:p>
                    </w:tc>
                  </w:tr>
                  <w:tr>
                    <w:trPr/>
                    <w:tc>
                      <w:tcPr>
                        <w:tcW w:w="2450" w:type="pct"/>
                        <w:vMerge w:val="restart"/>
                        <w:vAlign w:val="top"/>
                      </w:tcPr>
                      <w:p>
                        <w:r>
                          <w:t xml:space="preserve">J01DB - First-generation cephalosporins</w:t>
                        </w:r>
                      </w:p>
                    </w:tc>
                    <w:tc>
                      <w:tcPr>
                        <w:tcW w:w="2250" w:type="pct"/>
                        <w:vAlign w:val="top"/>
                      </w:tcPr>
                      <w:p>
                        <w:r>
                          <w:t xml:space="preserve">CEFALEXIN</w:t>
                        </w:r>
                      </w:p>
                    </w:tc>
                    <w:tc>
                      <w:tcPr>
                        <w:tcW w:w="200" w:type="pct"/>
                        <w:vAlign w:val="top"/>
                      </w:tcPr>
                      <w:p>
                        <w:r>
                          <w:t xml:space="preserve"> </w:t>
                        </w:r>
                      </w:p>
                    </w:tc>
                  </w:tr>
                  <w:tr>
                    <w:trPr/>
                    <w:tc>
                      <w:tcPr>
                        <w:tcW w:w="2450" w:type="pct"/>
                        <w:vMerge/>
                      </w:tcPr>
                      <w:p/>
                    </w:tc>
                    <w:tc>
                      <w:tcPr>
                        <w:tcW w:w="2250" w:type="pct"/>
                        <w:vAlign w:val="top"/>
                      </w:tcPr>
                      <w:p>
                        <w:r>
                          <w:t xml:space="preserve">CEFAZOLIN</w:t>
                        </w:r>
                      </w:p>
                    </w:tc>
                    <w:tc>
                      <w:tcPr>
                        <w:tcW w:w="200" w:type="pct"/>
                        <w:vAlign w:val="top"/>
                      </w:tcPr>
                      <w:p>
                        <w:r>
                          <w:t xml:space="preserve"> </w:t>
                        </w:r>
                      </w:p>
                    </w:tc>
                  </w:tr>
                  <w:tr>
                    <w:trPr/>
                    <w:tc>
                      <w:tcPr>
                        <w:tcW w:w="2450" w:type="pct"/>
                        <w:vMerge/>
                      </w:tcPr>
                      <w:p/>
                    </w:tc>
                    <w:tc>
                      <w:tcPr>
                        <w:tcW w:w="2250" w:type="pct"/>
                        <w:vAlign w:val="top"/>
                      </w:tcPr>
                      <w:p>
                        <w:r>
                          <w:t xml:space="preserve">CEPHALOTHIN</w:t>
                        </w:r>
                      </w:p>
                    </w:tc>
                    <w:tc>
                      <w:tcPr>
                        <w:tcW w:w="200" w:type="pct"/>
                        <w:vAlign w:val="top"/>
                      </w:tcPr>
                      <w:p>
                        <w:r>
                          <w:t xml:space="preserve"> </w:t>
                        </w:r>
                      </w:p>
                    </w:tc>
                  </w:tr>
                  <w:tr>
                    <w:trPr/>
                    <w:tc>
                      <w:tcPr>
                        <w:tcW w:w="2450" w:type="pct"/>
                        <w:vMerge w:val="restart"/>
                        <w:vAlign w:val="top"/>
                      </w:tcPr>
                      <w:p>
                        <w:r>
                          <w:t xml:space="preserve">J01DC - Second-generation cephalosporins</w:t>
                        </w:r>
                      </w:p>
                    </w:tc>
                    <w:tc>
                      <w:tcPr>
                        <w:tcW w:w="2250" w:type="pct"/>
                        <w:vAlign w:val="top"/>
                      </w:tcPr>
                      <w:p>
                        <w:r>
                          <w:t xml:space="preserve">CEFACLOR</w:t>
                        </w:r>
                      </w:p>
                    </w:tc>
                    <w:tc>
                      <w:tcPr>
                        <w:tcW w:w="200" w:type="pct"/>
                        <w:vAlign w:val="top"/>
                      </w:tcPr>
                      <w:p>
                        <w:r>
                          <w:t xml:space="preserve"> </w:t>
                        </w:r>
                      </w:p>
                    </w:tc>
                  </w:tr>
                  <w:tr>
                    <w:trPr/>
                    <w:tc>
                      <w:tcPr>
                        <w:tcW w:w="2450" w:type="pct"/>
                        <w:vMerge/>
                      </w:tcPr>
                      <w:p/>
                    </w:tc>
                    <w:tc>
                      <w:tcPr>
                        <w:tcW w:w="2250" w:type="pct"/>
                        <w:vAlign w:val="top"/>
                      </w:tcPr>
                      <w:p>
                        <w:r>
                          <w:t xml:space="preserve">CEFUROXIME</w:t>
                        </w:r>
                      </w:p>
                    </w:tc>
                    <w:tc>
                      <w:tcPr>
                        <w:tcW w:w="200" w:type="pct"/>
                        <w:vAlign w:val="top"/>
                      </w:tcPr>
                      <w:p>
                        <w:r>
                          <w:t xml:space="preserve"> </w:t>
                        </w:r>
                      </w:p>
                    </w:tc>
                  </w:tr>
                  <w:tr>
                    <w:trPr/>
                    <w:tc>
                      <w:tcPr>
                        <w:tcW w:w="2450" w:type="pct"/>
                        <w:vMerge w:val="restart"/>
                        <w:vAlign w:val="top"/>
                      </w:tcPr>
                      <w:p>
                        <w:r>
                          <w:t xml:space="preserve">J01DD - Third-generation cephalosporins</w:t>
                        </w:r>
                      </w:p>
                    </w:tc>
                    <w:tc>
                      <w:tcPr>
                        <w:tcW w:w="2250" w:type="pct"/>
                        <w:vAlign w:val="top"/>
                      </w:tcPr>
                      <w:p>
                        <w:r>
                          <w:t xml:space="preserve">CEFOTAXIME</w:t>
                        </w:r>
                      </w:p>
                    </w:tc>
                    <w:tc>
                      <w:tcPr>
                        <w:tcW w:w="200" w:type="pct"/>
                        <w:vAlign w:val="top"/>
                      </w:tcPr>
                      <w:p>
                        <w:r>
                          <w:t xml:space="preserve"> </w:t>
                        </w:r>
                      </w:p>
                    </w:tc>
                  </w:tr>
                  <w:tr>
                    <w:trPr/>
                    <w:tc>
                      <w:tcPr>
                        <w:tcW w:w="2450" w:type="pct"/>
                        <w:vMerge/>
                      </w:tcPr>
                      <w:p/>
                    </w:tc>
                    <w:tc>
                      <w:tcPr>
                        <w:tcW w:w="2250" w:type="pct"/>
                        <w:vAlign w:val="top"/>
                      </w:tcPr>
                      <w:p>
                        <w:r>
                          <w:t xml:space="preserve">CEFTRIAXONE</w:t>
                        </w:r>
                      </w:p>
                    </w:tc>
                    <w:tc>
                      <w:tcPr>
                        <w:tcW w:w="200" w:type="pct"/>
                        <w:vAlign w:val="top"/>
                      </w:tcPr>
                      <w:p>
                        <w:r>
                          <w:t xml:space="preserve"> </w:t>
                        </w:r>
                      </w:p>
                    </w:tc>
                  </w:tr>
                  <w:tr>
                    <w:trPr/>
                    <w:tc>
                      <w:tcPr>
                        <w:tcW w:w="2450" w:type="pct"/>
                        <w:vAlign w:val="top"/>
                      </w:tcPr>
                      <w:p>
                        <w:r>
                          <w:t xml:space="preserve">J01DE - Fourth-generation cephalosporins</w:t>
                        </w:r>
                      </w:p>
                    </w:tc>
                    <w:tc>
                      <w:tcPr>
                        <w:tcW w:w="2250" w:type="pct"/>
                        <w:vAlign w:val="top"/>
                      </w:tcPr>
                      <w:p>
                        <w:r>
                          <w:t xml:space="preserve">CEFEPIME</w:t>
                        </w:r>
                      </w:p>
                    </w:tc>
                    <w:tc>
                      <w:tcPr>
                        <w:tcW w:w="200" w:type="pct"/>
                        <w:vAlign w:val="top"/>
                      </w:tcPr>
                      <w:p>
                        <w:r>
                          <w:t xml:space="preserve"> </w:t>
                        </w:r>
                      </w:p>
                    </w:tc>
                  </w:tr>
                  <w:tr>
                    <w:trPr/>
                    <w:tc>
                      <w:tcPr>
                        <w:tcW w:w="2450" w:type="pct"/>
                        <w:vAlign w:val="top"/>
                      </w:tcPr>
                      <w:p>
                        <w:r>
                          <w:t xml:space="preserve">J01EA - Trimethoprim and derivatives</w:t>
                        </w:r>
                      </w:p>
                    </w:tc>
                    <w:tc>
                      <w:tcPr>
                        <w:tcW w:w="2250" w:type="pct"/>
                        <w:vAlign w:val="top"/>
                      </w:tcPr>
                      <w:p>
                        <w:r>
                          <w:t xml:space="preserve">TRIMETHOPRIM</w:t>
                        </w:r>
                      </w:p>
                    </w:tc>
                    <w:tc>
                      <w:tcPr>
                        <w:tcW w:w="200" w:type="pct"/>
                        <w:vAlign w:val="top"/>
                      </w:tcPr>
                      <w:p>
                        <w:r>
                          <w:t xml:space="preserve"> </w:t>
                        </w:r>
                      </w:p>
                    </w:tc>
                  </w:tr>
                  <w:tr>
                    <w:trPr/>
                    <w:tc>
                      <w:tcPr>
                        <w:tcW w:w="2450" w:type="pct"/>
                        <w:vAlign w:val="top"/>
                      </w:tcPr>
                      <w:p>
                        <w:r>
                          <w:t xml:space="preserve">J01EE - Combinations of sulfonamides and trimethoprim, incl. derivatives</w:t>
                        </w:r>
                      </w:p>
                    </w:tc>
                    <w:tc>
                      <w:tcPr>
                        <w:tcW w:w="2250" w:type="pct"/>
                        <w:vAlign w:val="top"/>
                      </w:tcPr>
                      <w:p>
                        <w:r>
                          <w:t xml:space="preserve">TRIMETHOPRIM + SULFAMETHOXAZOLE</w:t>
                        </w:r>
                      </w:p>
                    </w:tc>
                    <w:tc>
                      <w:tcPr>
                        <w:tcW w:w="200" w:type="pct"/>
                        <w:vAlign w:val="top"/>
                      </w:tcPr>
                      <w:p>
                        <w:r>
                          <w:t xml:space="preserve"> </w:t>
                        </w:r>
                      </w:p>
                    </w:tc>
                  </w:tr>
                  <w:tr>
                    <w:trPr/>
                    <w:tc>
                      <w:tcPr>
                        <w:tcW w:w="2450" w:type="pct"/>
                        <w:vMerge w:val="restart"/>
                        <w:vAlign w:val="top"/>
                      </w:tcPr>
                      <w:p>
                        <w:r>
                          <w:t xml:space="preserve">J01FA - Macrolides</w:t>
                        </w:r>
                      </w:p>
                    </w:tc>
                    <w:tc>
                      <w:tcPr>
                        <w:tcW w:w="2250" w:type="pct"/>
                        <w:vAlign w:val="top"/>
                      </w:tcPr>
                      <w:p>
                        <w:r>
                          <w:t xml:space="preserve">AZITHROMYCIN</w:t>
                        </w:r>
                      </w:p>
                    </w:tc>
                    <w:tc>
                      <w:tcPr>
                        <w:tcW w:w="200" w:type="pct"/>
                        <w:vAlign w:val="top"/>
                      </w:tcPr>
                      <w:p>
                        <w:r>
                          <w:t xml:space="preserve"> </w:t>
                        </w:r>
                      </w:p>
                    </w:tc>
                  </w:tr>
                  <w:tr>
                    <w:trPr/>
                    <w:tc>
                      <w:tcPr>
                        <w:tcW w:w="2450" w:type="pct"/>
                        <w:vMerge/>
                      </w:tcPr>
                      <w:p/>
                    </w:tc>
                    <w:tc>
                      <w:tcPr>
                        <w:tcW w:w="2250" w:type="pct"/>
                        <w:vAlign w:val="top"/>
                      </w:tcPr>
                      <w:p>
                        <w:r>
                          <w:t xml:space="preserve">CLARITHROMYCIN</w:t>
                        </w:r>
                      </w:p>
                    </w:tc>
                    <w:tc>
                      <w:tcPr>
                        <w:tcW w:w="200" w:type="pct"/>
                        <w:vAlign w:val="top"/>
                      </w:tcPr>
                      <w:p>
                        <w:r>
                          <w:t xml:space="preserve"> </w:t>
                        </w:r>
                      </w:p>
                    </w:tc>
                  </w:tr>
                  <w:tr>
                    <w:trPr/>
                    <w:tc>
                      <w:tcPr>
                        <w:tcW w:w="2450" w:type="pct"/>
                        <w:vMerge/>
                      </w:tcPr>
                      <w:p/>
                    </w:tc>
                    <w:tc>
                      <w:tcPr>
                        <w:tcW w:w="2250" w:type="pct"/>
                        <w:vAlign w:val="top"/>
                      </w:tcPr>
                      <w:p>
                        <w:r>
                          <w:t xml:space="preserve">ERYTHROMYCIN</w:t>
                        </w:r>
                      </w:p>
                    </w:tc>
                    <w:tc>
                      <w:tcPr>
                        <w:tcW w:w="200" w:type="pct"/>
                        <w:vAlign w:val="top"/>
                      </w:tcPr>
                      <w:p>
                        <w:r>
                          <w:t xml:space="preserve"> </w:t>
                        </w:r>
                      </w:p>
                    </w:tc>
                  </w:tr>
                  <w:tr>
                    <w:trPr/>
                    <w:tc>
                      <w:tcPr>
                        <w:tcW w:w="2450" w:type="pct"/>
                        <w:vMerge/>
                      </w:tcPr>
                      <w:p/>
                    </w:tc>
                    <w:tc>
                      <w:tcPr>
                        <w:tcW w:w="2250" w:type="pct"/>
                        <w:vAlign w:val="top"/>
                      </w:tcPr>
                      <w:p>
                        <w:r>
                          <w:t xml:space="preserve">ERYTHROMYCIN ETHYLSUCCINATE</w:t>
                        </w:r>
                      </w:p>
                    </w:tc>
                    <w:tc>
                      <w:tcPr>
                        <w:tcW w:w="200" w:type="pct"/>
                        <w:vAlign w:val="top"/>
                      </w:tcPr>
                      <w:p>
                        <w:r>
                          <w:t xml:space="preserve"> </w:t>
                        </w:r>
                      </w:p>
                    </w:tc>
                  </w:tr>
                  <w:tr>
                    <w:trPr/>
                    <w:tc>
                      <w:tcPr>
                        <w:tcW w:w="2450" w:type="pct"/>
                        <w:vMerge/>
                      </w:tcPr>
                      <w:p/>
                    </w:tc>
                    <w:tc>
                      <w:tcPr>
                        <w:tcW w:w="2250" w:type="pct"/>
                        <w:vAlign w:val="top"/>
                      </w:tcPr>
                      <w:p>
                        <w:r>
                          <w:t xml:space="preserve">ROXITHROMYCIN</w:t>
                        </w:r>
                      </w:p>
                    </w:tc>
                    <w:tc>
                      <w:tcPr>
                        <w:tcW w:w="200" w:type="pct"/>
                        <w:vAlign w:val="top"/>
                      </w:tcPr>
                      <w:p>
                        <w:r>
                          <w:t xml:space="preserve"> </w:t>
                        </w:r>
                      </w:p>
                    </w:tc>
                  </w:tr>
                  <w:tr>
                    <w:trPr/>
                    <w:tc>
                      <w:tcPr>
                        <w:tcW w:w="2450" w:type="pct"/>
                        <w:vMerge w:val="restart"/>
                        <w:vAlign w:val="top"/>
                      </w:tcPr>
                      <w:p>
                        <w:r>
                          <w:t xml:space="preserve">J01FF - Lincosamides</w:t>
                        </w:r>
                      </w:p>
                    </w:tc>
                    <w:tc>
                      <w:tcPr>
                        <w:tcW w:w="2250" w:type="pct"/>
                        <w:vAlign w:val="top"/>
                      </w:tcPr>
                      <w:p>
                        <w:r>
                          <w:t xml:space="preserve">CLINDAMYCIN</w:t>
                        </w:r>
                      </w:p>
                    </w:tc>
                    <w:tc>
                      <w:tcPr>
                        <w:tcW w:w="200" w:type="pct"/>
                        <w:vAlign w:val="top"/>
                      </w:tcPr>
                      <w:p>
                        <w:r>
                          <w:t xml:space="preserve"> </w:t>
                        </w:r>
                      </w:p>
                    </w:tc>
                  </w:tr>
                  <w:tr>
                    <w:trPr/>
                    <w:tc>
                      <w:tcPr>
                        <w:tcW w:w="2450" w:type="pct"/>
                        <w:vMerge/>
                      </w:tcPr>
                      <w:p/>
                    </w:tc>
                    <w:tc>
                      <w:tcPr>
                        <w:tcW w:w="2250" w:type="pct"/>
                        <w:vAlign w:val="top"/>
                      </w:tcPr>
                      <w:p>
                        <w:r>
                          <w:t xml:space="preserve">LINCOMYCIN</w:t>
                        </w:r>
                      </w:p>
                    </w:tc>
                    <w:tc>
                      <w:tcPr>
                        <w:tcW w:w="200" w:type="pct"/>
                        <w:vAlign w:val="top"/>
                      </w:tcPr>
                      <w:p>
                        <w:r>
                          <w:t xml:space="preserve"> </w:t>
                        </w:r>
                      </w:p>
                    </w:tc>
                  </w:tr>
                  <w:tr>
                    <w:trPr/>
                    <w:tc>
                      <w:tcPr>
                        <w:tcW w:w="2450" w:type="pct"/>
                        <w:vMerge w:val="restart"/>
                        <w:vAlign w:val="top"/>
                      </w:tcPr>
                      <w:p>
                        <w:r>
                          <w:t xml:space="preserve">J01GB - Other aminoglycosides</w:t>
                        </w:r>
                      </w:p>
                    </w:tc>
                    <w:tc>
                      <w:tcPr>
                        <w:tcW w:w="2250" w:type="pct"/>
                        <w:vAlign w:val="top"/>
                      </w:tcPr>
                      <w:p>
                        <w:r>
                          <w:t xml:space="preserve">GENTAMICIN</w:t>
                        </w:r>
                      </w:p>
                    </w:tc>
                    <w:tc>
                      <w:tcPr>
                        <w:tcW w:w="200" w:type="pct"/>
                        <w:vAlign w:val="top"/>
                      </w:tcPr>
                      <w:p>
                        <w:r>
                          <w:t xml:space="preserve"> </w:t>
                        </w:r>
                      </w:p>
                    </w:tc>
                  </w:tr>
                  <w:tr>
                    <w:trPr/>
                    <w:tc>
                      <w:tcPr>
                        <w:tcW w:w="2450" w:type="pct"/>
                        <w:vMerge/>
                      </w:tcPr>
                      <w:p/>
                    </w:tc>
                    <w:tc>
                      <w:tcPr>
                        <w:tcW w:w="2250" w:type="pct"/>
                        <w:vAlign w:val="top"/>
                      </w:tcPr>
                      <w:p>
                        <w:r>
                          <w:t xml:space="preserve">TOBRAMYCIN</w:t>
                        </w:r>
                      </w:p>
                    </w:tc>
                    <w:tc>
                      <w:tcPr>
                        <w:tcW w:w="200" w:type="pct"/>
                        <w:vAlign w:val="top"/>
                      </w:tcPr>
                      <w:p>
                        <w:r>
                          <w:t xml:space="preserve"> </w:t>
                        </w:r>
                      </w:p>
                    </w:tc>
                  </w:tr>
                  <w:tr>
                    <w:trPr/>
                    <w:tc>
                      <w:tcPr>
                        <w:tcW w:w="2450" w:type="pct"/>
                        <w:vMerge w:val="restart"/>
                        <w:vAlign w:val="top"/>
                      </w:tcPr>
                      <w:p>
                        <w:r>
                          <w:t xml:space="preserve">J01MA - Fluoroquinolones</w:t>
                        </w:r>
                      </w:p>
                    </w:tc>
                    <w:tc>
                      <w:tcPr>
                        <w:tcW w:w="2250" w:type="pct"/>
                        <w:vAlign w:val="top"/>
                      </w:tcPr>
                      <w:p>
                        <w:r>
                          <w:t xml:space="preserve">CIPROFLOXACIN</w:t>
                        </w:r>
                      </w:p>
                    </w:tc>
                    <w:tc>
                      <w:tcPr>
                        <w:tcW w:w="200" w:type="pct"/>
                        <w:vAlign w:val="top"/>
                      </w:tcPr>
                      <w:p>
                        <w:r>
                          <w:t xml:space="preserve"> </w:t>
                        </w:r>
                      </w:p>
                    </w:tc>
                  </w:tr>
                  <w:tr>
                    <w:trPr/>
                    <w:tc>
                      <w:tcPr>
                        <w:tcW w:w="2450" w:type="pct"/>
                        <w:vMerge/>
                      </w:tcPr>
                      <w:p/>
                    </w:tc>
                    <w:tc>
                      <w:tcPr>
                        <w:tcW w:w="2250" w:type="pct"/>
                        <w:vAlign w:val="top"/>
                      </w:tcPr>
                      <w:p>
                        <w:r>
                          <w:t xml:space="preserve">NORFLOXACIN</w:t>
                        </w:r>
                      </w:p>
                    </w:tc>
                    <w:tc>
                      <w:tcPr>
                        <w:tcW w:w="200" w:type="pct"/>
                        <w:vAlign w:val="top"/>
                      </w:tcPr>
                      <w:p>
                        <w:r>
                          <w:t xml:space="preserve"> </w:t>
                        </w:r>
                      </w:p>
                    </w:tc>
                  </w:tr>
                  <w:tr>
                    <w:trPr/>
                    <w:tc>
                      <w:tcPr>
                        <w:tcW w:w="2450" w:type="pct"/>
                        <w:vAlign w:val="top"/>
                      </w:tcPr>
                      <w:p>
                        <w:r>
                          <w:t xml:space="preserve">J01XA - Glycopeptide antibacterials</w:t>
                        </w:r>
                      </w:p>
                    </w:tc>
                    <w:tc>
                      <w:tcPr>
                        <w:tcW w:w="2250" w:type="pct"/>
                        <w:vAlign w:val="top"/>
                      </w:tcPr>
                      <w:p>
                        <w:r>
                          <w:t xml:space="preserve">VANCOMYCIN</w:t>
                        </w:r>
                      </w:p>
                    </w:tc>
                    <w:tc>
                      <w:tcPr>
                        <w:tcW w:w="200" w:type="pct"/>
                        <w:vAlign w:val="top"/>
                      </w:tcPr>
                      <w:p>
                        <w:r>
                          <w:t xml:space="preserve"> </w:t>
                        </w:r>
                      </w:p>
                    </w:tc>
                  </w:tr>
                  <w:tr>
                    <w:trPr/>
                    <w:tc>
                      <w:tcPr>
                        <w:tcW w:w="2450" w:type="pct"/>
                        <w:vAlign w:val="top"/>
                      </w:tcPr>
                      <w:p>
                        <w:r>
                          <w:t xml:space="preserve">J01XC - Steroid antibacterials</w:t>
                        </w:r>
                      </w:p>
                    </w:tc>
                    <w:tc>
                      <w:tcPr>
                        <w:tcW w:w="2250" w:type="pct"/>
                        <w:vAlign w:val="top"/>
                      </w:tcPr>
                      <w:p>
                        <w:r>
                          <w:t xml:space="preserve">FUSIDATE</w:t>
                        </w:r>
                      </w:p>
                    </w:tc>
                    <w:tc>
                      <w:tcPr>
                        <w:tcW w:w="200" w:type="pct"/>
                        <w:vAlign w:val="top"/>
                      </w:tcPr>
                      <w:p>
                        <w:r>
                          <w:t xml:space="preserve"> </w:t>
                        </w:r>
                      </w:p>
                    </w:tc>
                  </w:tr>
                  <w:tr>
                    <w:trPr/>
                    <w:tc>
                      <w:tcPr>
                        <w:tcW w:w="2450" w:type="pct"/>
                        <w:vMerge w:val="restart"/>
                        <w:vAlign w:val="top"/>
                      </w:tcPr>
                      <w:p>
                        <w:r>
                          <w:t xml:space="preserve">J01XD - Imidazole derivatives</w:t>
                        </w:r>
                      </w:p>
                    </w:tc>
                    <w:tc>
                      <w:tcPr>
                        <w:tcW w:w="2250" w:type="pct"/>
                        <w:vAlign w:val="top"/>
                      </w:tcPr>
                      <w:p>
                        <w:r>
                          <w:t xml:space="preserve">METRONIDAZOLE</w:t>
                        </w:r>
                      </w:p>
                    </w:tc>
                    <w:tc>
                      <w:tcPr>
                        <w:tcW w:w="200" w:type="pct"/>
                        <w:vAlign w:val="top"/>
                      </w:tcPr>
                      <w:p>
                        <w:r>
                          <w:t xml:space="preserve"> </w:t>
                        </w:r>
                      </w:p>
                    </w:tc>
                  </w:tr>
                  <w:tr>
                    <w:trPr/>
                    <w:tc>
                      <w:tcPr>
                        <w:tcW w:w="2450" w:type="pct"/>
                        <w:vMerge/>
                      </w:tcPr>
                      <w:p/>
                    </w:tc>
                    <w:tc>
                      <w:tcPr>
                        <w:tcW w:w="2250" w:type="pct"/>
                        <w:vAlign w:val="top"/>
                      </w:tcPr>
                      <w:p>
                        <w:r>
                          <w:t xml:space="preserve">TINIDAZOLE</w:t>
                        </w:r>
                      </w:p>
                    </w:tc>
                    <w:tc>
                      <w:tcPr>
                        <w:tcW w:w="200" w:type="pct"/>
                        <w:vAlign w:val="top"/>
                      </w:tcPr>
                      <w:p>
                        <w:r>
                          <w:t xml:space="preserve"> </w:t>
                        </w:r>
                      </w:p>
                    </w:tc>
                  </w:tr>
                  <w:tr>
                    <w:trPr/>
                    <w:tc>
                      <w:tcPr>
                        <w:tcW w:w="2450" w:type="pct"/>
                        <w:vAlign w:val="top"/>
                      </w:tcPr>
                      <w:p>
                        <w:r>
                          <w:t xml:space="preserve">J01XE - Nitrofuran derivatives</w:t>
                        </w:r>
                      </w:p>
                    </w:tc>
                    <w:tc>
                      <w:tcPr>
                        <w:tcW w:w="2250" w:type="pct"/>
                        <w:vAlign w:val="top"/>
                      </w:tcPr>
                      <w:p>
                        <w:r>
                          <w:t xml:space="preserve">NITROFURANTOIN</w:t>
                        </w:r>
                      </w:p>
                    </w:tc>
                    <w:tc>
                      <w:tcPr>
                        <w:tcW w:w="200" w:type="pct"/>
                        <w:vAlign w:val="top"/>
                      </w:tcPr>
                      <w:p>
                        <w:r>
                          <w:t xml:space="preserve"> </w:t>
                        </w:r>
                      </w:p>
                    </w:tc>
                  </w:tr>
                  <w:tr>
                    <w:trPr/>
                    <w:tc>
                      <w:tcPr>
                        <w:tcW w:w="2450" w:type="pct"/>
                        <w:vAlign w:val="top"/>
                      </w:tcPr>
                      <w:p>
                        <w:r>
                          <w:t xml:space="preserve">J01XX - Other antibacterials</w:t>
                        </w:r>
                      </w:p>
                    </w:tc>
                    <w:tc>
                      <w:tcPr>
                        <w:tcW w:w="2250" w:type="pct"/>
                        <w:vAlign w:val="top"/>
                      </w:tcPr>
                      <w:p>
                        <w:r>
                          <w:t xml:space="preserve">METHENAMINE HIPPURATE</w:t>
                        </w:r>
                      </w:p>
                    </w:tc>
                    <w:tc>
                      <w:tcPr>
                        <w:tcW w:w="200" w:type="pct"/>
                        <w:vAlign w:val="top"/>
                      </w:tcPr>
                      <w:p>
                        <w:r>
                          <w:t xml:space="preserve"> </w:t>
                        </w:r>
                      </w:p>
                    </w:tc>
                  </w:tr>
                </w:tbl>
                <w:p>
                  <w:r>
                    <w:t xml:space="preserve"> </w:t>
                  </w:r>
                </w:p>
                <w:p>
                  <w:r>
                    <w:t xml:space="preserve">Presented as the following rates:</w:t>
                  </w:r>
                </w:p>
                <w:p>
                  <w:r>
                    <w:t xml:space="preserve">(a)</w:t>
                  </w:r>
                  <w:r>
                    <w:t xml:space="preserve">    </w:t>
                  </w:r>
                  <w:r>
                    <w:t xml:space="preserve">number of prescriptions per 100,000 population </w:t>
                  </w:r>
                </w:p>
                <w:p>
                  <w:r>
                    <w:t xml:space="preserve">(b)</w:t>
                  </w:r>
                  <w:r>
                    <w:t xml:space="preserve">    </w:t>
                  </w:r>
                  <w:r>
                    <w:t xml:space="preserve">number </w:t>
                  </w:r>
                  <w:r>
                    <w:t xml:space="preserve">of patients per 100,000 population</w:t>
                  </w:r>
                  <w:r>
                    <w:t xml:space="preserve"> </w:t>
                  </w:r>
                </w:p>
                <w:p>
                  <w:r>
                    <w:t xml:space="preserve">Rates are directly age-sex standardised, to the 2001 Australian population, using 5-year age groups: 0-4 and 5-9.</w:t>
                  </w:r>
                </w:p>
                <w:p>
                  <w:r>
                    <w:t xml:space="preserve">For more information about age-standardisation in general see </w:t>
                  </w:r>
                  <w:hyperlink w:history="true" r:id="R1dd8e2019dac4363">
                    <w:r>
                      <w:rPr>
                        <w:rStyle w:val="Hyperlink"/>
                      </w:rPr>
                      <w:t xml:space="preserve">/content/index.phtml/itemId/327276</w:t>
                    </w:r>
                  </w:hyperlink>
                </w:p>
                <w:p>
                  <w:r>
                    <w:t xml:space="preserve"> </w:t>
                  </w:r>
                </w:p>
                <w:p>
                  <w:r>
                    <w:t xml:space="preserve">A patient’s age is calculated in years as difference between patient’s date of birth and date of supply for the prescription. 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postcode </w:t>
                  </w:r>
                  <w:r>
                    <w:rPr>
                      <w:color w:val="000000"/>
                    </w:rPr>
                    <w:t xml:space="preserve">of usual residence as last reported by the patient to Medicare, valid at date of supply</w:t>
                  </w:r>
                  <w:r>
                    <w:rPr>
                      <w:color w:val="000000"/>
                    </w:rPr>
                    <w:t xml:space="preserve">. </w:t>
                  </w:r>
                </w:p>
                <w:p>
                  <w:r>
                    <w:t xml:space="preserve"> </w:t>
                  </w:r>
                </w:p>
                <w:p>
                  <w:r>
                    <w:t xml:space="preserve">Suppress data (number and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r>
                    <w:t xml:space="preserve">    </w:t>
                  </w:r>
                </w:p>
                <w:p>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1dd912b91f0e4f16">
                    <w:r>
                      <w:rPr>
                        <w:rStyle w:val="Hyperlink"/>
                        <w:color w:val="000000"/>
                        <w:sz w:val="30"/>
                      </w:rPr>
                      <w:t xml:space="preserve">Technical supplement of the Third Atlas.</w:t>
                    </w:r>
                    <w:r>
                      <w:rPr>
                        <w:color w:val="000000"/>
                        <w:sz w:val="30"/>
                      </w:rPr>
                      <w:t xml:space="preserve">  </w:t>
                    </w:r>
                  </w:hyperlink>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(Numerator </w:t>
            </w:r>
            <w:r>
              <w:rPr>
                <w:rStyle w:val="row-content-rich-text"/>
              </w:rPr>
              <w:t xml:space="preserve">÷</w:t>
            </w:r>
            <w:r>
              <w:rPr>
                <w:rStyle w:val="row-content-rich-text"/>
              </w:rPr>
              <w:t xml:space="preserve"> Denominator) x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antibiotic prescriptions dispensed, 9 years and under</w:t>
            </w:r>
          </w:p>
          <w:p>
            <w:pPr/>
            <w:r>
              <w:rPr>
                <w:rStyle w:val="row-content-rich-text"/>
              </w:rPr>
              <w:t xml:space="preserve">(b) Number of patients dispensed at least one antibiotic prescription,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c7ddcf1c874fb5">
              <w:r>
                <w:rPr>
                  <w:rStyle w:val="Hyperlink"/>
                </w:rPr>
                <w:t xml:space="preserve">Person—date of birth, MMYYYY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caaa4dd0ee46b6">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5da102e85bcc42db">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552adb79db9c4801">
              <w:r>
                <w:rPr>
                  <w:rStyle w:val="Hyperlink"/>
                </w:rPr>
                <w:t xml:space="preserve">Person—sex, code A</w:t>
              </w:r>
            </w:hyperlink>
          </w:p>
          <w:p>
            <w:r>
              <w:rPr>
                <w:rStyle w:val="row-content"/>
                <w:b/>
                <w:color w:val="000000"/>
              </w:rPr>
              <w:t xml:space="preserve">Data Element / Data Set</w:t>
            </w:r>
          </w:p>
          <w:p>
            <w:hyperlink w:history="true" r:id="R51c348c66e7b40b4">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w:t>
            </w:r>
          </w:p>
          <w:p>
            <w:pPr/>
            <w:r>
              <w:rPr>
                <w:rStyle w:val="row-content-rich-text"/>
              </w:rPr>
              <w:t xml:space="preserve">(a), (b) Total Population, aged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ff402d4dd4668">
              <w:r>
                <w:rPr>
                  <w:rStyle w:val="Hyperlink"/>
                </w:rPr>
                <w:t xml:space="preserve">Person—estimated resident population of Australia, total people N[N(7)]</w:t>
              </w:r>
            </w:hyperlink>
          </w:p>
          <w:p>
            <w:r>
              <w:rPr>
                <w:rStyle w:val="row-content"/>
                <w:b/>
              </w:rPr>
              <w:t xml:space="preserve">Data Source</w:t>
            </w:r>
          </w:p>
          <w:p>
            <w:hyperlink w:history="true" r:id="R7c91cdda7db44f53">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pStyle w:val="ListParagraph"/>
              <w:numPr>
                <w:ilvl w:val="0"/>
                <w:numId w:val="2"/>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(0-4 years, 5-9 years, 0-9 years)</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61f9b58cf4ca4432">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 </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1c6d30fa18b43a4">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e07c0dd3784b0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5748a9d5c5f495c">
              <w:r>
                <w:rPr>
                  <w:rStyle w:val="Hyperlink"/>
                </w:rPr>
                <w:t xml:space="preserve">http://www.pbs.gov.au/browse/body-system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Commission on Safety and Quality in Health Care</w:t>
            </w:r>
          </w:p>
          <w:p>
            <w:r>
              <w:br/>
            </w:r>
          </w:p>
        </w:tc>
      </w:tr>
    </w:tbl>
    <w:p>
      <w:r>
        <w:br/>
      </w:r>
    </w:p>
    <w:sectPr>
      <w:footerReference xmlns:r="http://schemas.openxmlformats.org/officeDocument/2006/relationships" w:type="default" r:id="R17546c0eb24e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50d963933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46c0eb24e42fe" /><Relationship Type="http://schemas.openxmlformats.org/officeDocument/2006/relationships/header" Target="/word/header1.xml" Id="R0c4b6737476041c1" /><Relationship Type="http://schemas.openxmlformats.org/officeDocument/2006/relationships/settings" Target="/word/settings.xml" Id="R5e3109d0fa9f4f67" /><Relationship Type="http://schemas.openxmlformats.org/officeDocument/2006/relationships/styles" Target="/word/styles.xml" Id="Rf832c6263abf469c" /><Relationship Type="http://schemas.openxmlformats.org/officeDocument/2006/relationships/hyperlink" Target="https://meteor.aihw.gov.au/RegistrationAuthority/18" TargetMode="External" Id="Rca1d007bc55c43a5" /><Relationship Type="http://schemas.openxmlformats.org/officeDocument/2006/relationships/hyperlink" Target="https://meteor.aihw.gov.au/content/708955" TargetMode="External" Id="R3545ae06739342de" /><Relationship Type="http://schemas.openxmlformats.org/officeDocument/2006/relationships/hyperlink" Target="https://meteor.aihw.gov.au/RegistrationAuthority/18" TargetMode="External" Id="R0f2f7d1f3cfe444b" /><Relationship Type="http://schemas.openxmlformats.org/officeDocument/2006/relationships/hyperlink" Target="https://meteor.aihw.gov.au/content/327276" TargetMode="External" Id="R1dd8e2019dac4363" /><Relationship Type="http://schemas.openxmlformats.org/officeDocument/2006/relationships/hyperlink" Target="https://www.safetyandquality.gov.au/wp-content/uploads/2018/12/Text-Technical-supplement.pdf" TargetMode="External" Id="R1dd912b91f0e4f16" /><Relationship Type="http://schemas.openxmlformats.org/officeDocument/2006/relationships/hyperlink" Target="https://meteor.aihw.gov.au/content/375191" TargetMode="External" Id="Rbfc7ddcf1c874fb5" /><Relationship Type="http://schemas.openxmlformats.org/officeDocument/2006/relationships/hyperlink" Target="https://meteor.aihw.gov.au/content/600778" TargetMode="External" Id="R2bcaaa4dd0ee46b6" /><Relationship Type="http://schemas.openxmlformats.org/officeDocument/2006/relationships/hyperlink" Target="https://meteor.aihw.gov.au/content/601236" TargetMode="External" Id="R5da102e85bcc42db" /><Relationship Type="http://schemas.openxmlformats.org/officeDocument/2006/relationships/hyperlink" Target="https://meteor.aihw.gov.au/content/602450" TargetMode="External" Id="R552adb79db9c4801" /><Relationship Type="http://schemas.openxmlformats.org/officeDocument/2006/relationships/hyperlink" Target="https://meteor.aihw.gov.au/content/602767" TargetMode="External" Id="R51c348c66e7b40b4" /><Relationship Type="http://schemas.openxmlformats.org/officeDocument/2006/relationships/hyperlink" Target="https://meteor.aihw.gov.au/content/388656" TargetMode="External" Id="R04aff402d4dd4668" /><Relationship Type="http://schemas.openxmlformats.org/officeDocument/2006/relationships/hyperlink" Target="https://meteor.aihw.gov.au/content/657459" TargetMode="External" Id="R7c91cdda7db44f53" /><Relationship Type="http://schemas.openxmlformats.org/officeDocument/2006/relationships/numbering" Target="/word/numbering.xml" Id="R06269896d0284751" /><Relationship Type="http://schemas.openxmlformats.org/officeDocument/2006/relationships/hyperlink" Target="https://meteor.aihw.gov.au/content/287007" TargetMode="External" Id="R61f9b58cf4ca4432" /><Relationship Type="http://schemas.openxmlformats.org/officeDocument/2006/relationships/hyperlink" Target="https://meteor.aihw.gov.au/content/611398" TargetMode="External" Id="Rd1c6d30fa18b43a4" /><Relationship Type="http://schemas.openxmlformats.org/officeDocument/2006/relationships/hyperlink" Target="https://meteor.aihw.gov.au/content/657459" TargetMode="External" Id="R8ce07c0dd3784b04" /><Relationship Type="http://schemas.openxmlformats.org/officeDocument/2006/relationships/hyperlink" Target="http://www.pbs.gov.au/browse/body-system" TargetMode="External" Id="R25748a9d5c5f495c" /></Relationships>
</file>

<file path=word/_rels/header1.xml.rels>&#65279;<?xml version="1.0" encoding="utf-8"?><Relationships xmlns="http://schemas.openxmlformats.org/package/2006/relationships"><Relationship Type="http://schemas.openxmlformats.org/officeDocument/2006/relationships/image" Target="/media/image.png" Id="R90c50d96393344fc" /></Relationships>
</file>