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a5427e42b245a0" /></Relationships>
</file>

<file path=word/document.xml><?xml version="1.0" encoding="utf-8"?>
<w:document xmlns:r="http://schemas.openxmlformats.org/officeDocument/2006/relationships" xmlns:w="http://schemas.openxmlformats.org/wordprocessingml/2006/main">
  <w:body>
    <w:p>
      <w:pPr>
        <w:pStyle w:val="Title"/>
      </w:pPr>
      <w:r>
        <w:t>Adoptions Australia 2017–18;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2017–18;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e58357f24a44d2">
              <w:r>
                <w:rPr>
                  <w:rStyle w:val="Hyperlink"/>
                  <w:color w:val="244061"/>
                </w:rPr>
                <w:t xml:space="preserve">AIHW Data Quality Statements</w:t>
              </w:r>
            </w:hyperlink>
            <w:r>
              <w:rPr>
                <w:rStyle w:val="row-content"/>
                <w:color w:val="244061"/>
              </w:rPr>
              <w:t xml:space="preserve">, Superseded 13/12/2019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Adoptions Australia national collection contains data on adopted children, their adoptive families and birth parents,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w:t>
            </w:r>
          </w:p>
          <w:p>
            <w:pPr>
              <w:pStyle w:val="ListParagraph"/>
              <w:numPr>
                <w:ilvl w:val="0"/>
                <w:numId w:val="2"/>
              </w:numPr>
            </w:pPr>
            <w:r>
              <w:rPr>
                <w:rStyle w:val="row-content-rich-text"/>
              </w:rPr>
              <w:t xml:space="preserve">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identification of individuals. Further, disaggregation of analyses by Indigenous status is not possible due to the very small number of Indigenous children covered by the collection each year.</w:t>
            </w:r>
          </w:p>
          <w:p>
            <w:pPr>
              <w:pStyle w:val="ListParagraph"/>
              <w:numPr>
                <w:ilvl w:val="0"/>
                <w:numId w:val="2"/>
              </w:numPr>
            </w:pPr>
            <w:r>
              <w:rPr>
                <w:rStyle w:val="row-content-rich-text"/>
              </w:rPr>
              <w:t xml:space="preserve">The AIHW compiles the data each year using data extracted from the administrative systems of the state and territory departments responsible for adoptions. Some data are also provided by the Department of Immigration and Border Protection.</w:t>
            </w:r>
          </w:p>
          <w:p>
            <w:pPr>
              <w:pStyle w:val="ListParagraph"/>
              <w:numPr>
                <w:ilvl w:val="0"/>
                <w:numId w:val="2"/>
              </w:numPr>
            </w:pPr>
            <w:r>
              <w:rPr>
                <w:rStyle w:val="row-content-rich-text"/>
              </w:rPr>
              <w:t xml:space="preserve">Overall, the quality and coverage of data in the Adoptions Australia collection are good. Data are only partially available for 3 of the 27 collection tables (1 jurisdiction was unable to provide, or only able to partially provide, data), and data are rarely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statutory authority, which is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w:t>
            </w:r>
            <w:r>
              <w:rPr>
                <w:rStyle w:val="row-content-rich-text"/>
                <w:i/>
              </w:rPr>
              <w:t xml:space="preserve"> Australian Institute of Health and Welfare Act </w:t>
            </w:r>
            <w:r>
              <w:rPr>
                <w:rStyle w:val="row-content-rich-text"/>
              </w:rPr>
              <w:t xml:space="preserve">and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r>
              <w:rPr>
                <w:rStyle w:val="row-content-rich-text"/>
              </w:rPr>
              <w:t xml:space="preserve">For further information, see </w:t>
            </w:r>
            <w:hyperlink w:history="true" r:id="R6f919aab5e0844f5">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2017–18</w:t>
            </w:r>
            <w:r>
              <w:rPr>
                <w:rStyle w:val="row-content-rich-text"/>
              </w:rPr>
              <w:t xml:space="preserve"> is from 1 July 2017 to 30 June 2018. The data set includes information related to all intercountry, local and known child adoption orders finalised during this period. It also includes limited information on placements that took place during this period, parties accessing their adoption records during that period, and adoption vetoes.</w:t>
            </w:r>
          </w:p>
          <w:p>
            <w:pPr>
              <w:spacing w:after="160"/>
            </w:pPr>
            <w:r>
              <w:rPr>
                <w:rStyle w:val="row-content-rich-text"/>
              </w:rPr>
              <w:t xml:space="preserve">The state and territory departments responsible for adoption provide data to the AIHW annually, following the end of each financial year. For the 2017–18 collection, the first iteration of data was due to the AIHW 6 weeks after the end of the financial year (by 10 August 2018), and data were finalised for all states and territories by 12 September 2018.</w:t>
            </w:r>
          </w:p>
          <w:p>
            <w:pPr>
              <w:spacing w:after="160"/>
            </w:pPr>
            <w:r>
              <w:rPr>
                <w:rStyle w:val="row-content-rich-text"/>
              </w:rPr>
              <w:t xml:space="preserve">The data for each collection period are released in the AIHW’s Adoptions Australia annual publication. In 2017–18, concurrent with the annual publication, key findings were released in an online snapshot and, for intercountry, local and known child adoption data, through an interactive web portal.</w:t>
            </w:r>
          </w:p>
          <w:p>
            <w:pPr/>
            <w:r>
              <w:rPr>
                <w:rStyle w:val="row-content-rich-text"/>
              </w:rPr>
              <w:t xml:space="preserve">Data from the AIHW Adoptions Australia national collection are expected to be published in December of the final year of the reference period (that is, within 6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Adoptions Australia data, including the annual Adoptions Australia reports and online snapshot, are available free of charge at </w:t>
            </w:r>
            <w:hyperlink w:history="true" r:id="R209f42e70fab4ec7">
              <w:r>
                <w:rPr>
                  <w:rStyle w:val="Hyperlink"/>
                </w:rPr>
                <w:t xml:space="preserve">www.aihw.gov.au</w:t>
              </w:r>
            </w:hyperlink>
            <w:r>
              <w:rPr>
                <w:rStyle w:val="row-content-rich-text"/>
              </w:rPr>
              <w:t xml:space="preserve">.</w:t>
            </w:r>
          </w:p>
          <w:p>
            <w:pPr>
              <w:spacing w:after="160"/>
            </w:pPr>
            <w:r>
              <w:rPr>
                <w:rStyle w:val="row-content-rich-text"/>
              </w:rPr>
              <w:t xml:space="preserve">Requests for unpublished data can be made by contacting the AIHW on (02) 6244 1000 or via email to </w:t>
            </w:r>
            <w:hyperlink w:history="true" r:id="R29d73c5072044e57">
              <w:r>
                <w:rPr>
                  <w:rStyle w:val="Hyperlink"/>
                </w:rPr>
                <w:t xml:space="preserve">info@aihw.gov.au</w:t>
              </w:r>
            </w:hyperlink>
            <w:r>
              <w:rPr>
                <w:rStyle w:val="row-content-rich-text"/>
              </w:rPr>
              <w:t xml:space="preserve">. A cost-recovery charge might apply for these requests. Depending on the nature of the request, requests for access to unpublished data might require approval from the state and territory data custodians and/or the AIHW Ethics Committee.</w:t>
            </w:r>
          </w:p>
          <w:p>
            <w:pPr/>
            <w:r>
              <w:rPr>
                <w:rStyle w:val="row-content-rich-text"/>
              </w:rPr>
              <w:t xml:space="preserve">General enquiries about AIHW publications can be made to the Digital and Media Communications Unit via email to </w:t>
            </w:r>
            <w:hyperlink w:history="true" r:id="R6e5f6c4d92524f2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at Appendix B: Legislation. Supporting information is also provided in the footnotes to tables and in the Glossary. The Australian Government Department of Social Services, in liaison with the Australian Government Attorney-General’s Department (AGD)—the Australian Central Authority for intercountry adoption—provides expert advice on current intercountry adoption programs, which is incorporated into the report to inform and contextualise analyses. Chapter 2 provides an overview of the 3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can be found on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for Australia. As well as providing information on the current period, the collection also allows for comparable trend data to be examined.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on intercountry, local and known child adoption placements, and finalisations that occurred during the reporting period (that is, the 2017–18 reporting period includes data from 1 July 2017 to 30 June 2018). These data relate to adopted childen,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examined. In addition, data from the Department of Immigration and Border Protection on the number of visas issued for expatriate adoption, the proportion of visa refusals and the program status of countries of adoptee citizenship for these adoptions provide complementary information. When combined, these data give a detailed view of adoption in Australia.</w:t>
            </w:r>
          </w:p>
          <w:p>
            <w:pPr>
              <w:spacing w:after="160"/>
            </w:pPr>
            <w:r>
              <w:rPr>
                <w:rStyle w:val="row-content-rich-text"/>
                <w:b/>
              </w:rPr>
              <w:t xml:space="preserve">Scope </w:t>
            </w:r>
          </w:p>
          <w:p>
            <w:pPr>
              <w:spacing w:after="160"/>
            </w:pPr>
            <w:r>
              <w:rPr>
                <w:rStyle w:val="row-content-rich-text"/>
              </w:rPr>
              <w:t xml:space="preserve">A description of adoption and information on the sources of data for the collection are presented in Chapter 1.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pStyle w:val="ListParagraph"/>
              <w:numPr>
                <w:ilvl w:val="0"/>
                <w:numId w:val="3"/>
              </w:numPr>
            </w:pPr>
            <w:r>
              <w:rPr>
                <w:rStyle w:val="row-content-rich-text"/>
                <w:b/>
              </w:rPr>
              <w:t xml:space="preserve">finalisations</w:t>
            </w:r>
            <w:r>
              <w:rPr>
                <w:rStyle w:val="row-content-rich-text"/>
              </w:rPr>
              <w:t xml:space="preserve">—children whose adoption orders were finalised during the reporting period. This includes orders made in Australia, and, in the case of some intercountry adoptions, where the full adoption order was made in the country of origin</w:t>
            </w:r>
          </w:p>
          <w:p>
            <w:pPr>
              <w:pStyle w:val="ListParagraph"/>
              <w:numPr>
                <w:ilvl w:val="0"/>
                <w:numId w:val="3"/>
              </w:numPr>
            </w:pPr>
            <w:r>
              <w:rPr>
                <w:rStyle w:val="row-content-rich-text"/>
                <w:b/>
              </w:rPr>
              <w:t xml:space="preserve">placements</w:t>
            </w:r>
            <w:r>
              <w:rPr>
                <w:rStyle w:val="row-content-rich-text"/>
              </w:rPr>
              <w:t xml:space="preserve">—children, regardless of the status of their adoption orders, who were placed with their adoptive families (that is, entered the home) during the reporting period.</w:t>
            </w:r>
          </w:p>
          <w:p>
            <w:pPr>
              <w:spacing w:after="160"/>
            </w:pPr>
            <w:r>
              <w:rPr>
                <w:rStyle w:val="row-content-rich-text"/>
              </w:rPr>
              <w:t xml:space="preserve">There is overlap between these 2 groups. Some children placed for adoption during the current period might not have their adoption finalised until a following year. In addition, some adoption orders finalised in the current period might relate to children who were placed in a previous year. However, the aggregate nature of the Adoptions Australia collection does not allow the degree of overlap to be determined.</w:t>
            </w:r>
          </w:p>
          <w:p>
            <w:pPr>
              <w:spacing w:after="160"/>
            </w:pPr>
            <w:r>
              <w:rPr>
                <w:rStyle w:val="row-content-rich-text"/>
              </w:rPr>
              <w:t xml:space="preserve">The collection also contains data on the adoptive families and, for local adoptions, birth mothers of children with a finalised adoption order. In addition, data on the number of contact/information requests and vetoes lodged by parties to an existing adoption are collected.</w:t>
            </w:r>
          </w:p>
          <w:p>
            <w:pPr>
              <w:spacing w:after="160"/>
            </w:pPr>
            <w:r>
              <w:rPr>
                <w:rStyle w:val="row-content-rich-text"/>
                <w:b/>
              </w:rPr>
              <w:t xml:space="preserve">Potential disclosure of personal information </w:t>
            </w:r>
          </w:p>
          <w:p>
            <w:pPr>
              <w:spacing w:after="160"/>
            </w:pPr>
            <w:r>
              <w:rPr>
                <w:rStyle w:val="row-content-rich-text"/>
              </w:rPr>
              <w:t xml:space="preserve">The Adoptions Australia collection has received on-going ethical approval from the AIHW Ethics Committee (the Committee). The Committee considers a range of issues in deciding applications. These include compliance with the Privacy Act 1988 and the AIHW Act. The Committee also considers the guidelines under Section 95 of the Privacy Act and the National Statement on Ethical Conduct in Research, both issued by the National Health and Medical Research Council.</w:t>
            </w:r>
          </w:p>
          <w:p>
            <w:pPr>
              <w:spacing w:after="160"/>
            </w:pPr>
            <w:r>
              <w:rPr>
                <w:rStyle w:val="row-content-rich-text"/>
              </w:rPr>
              <w:t xml:space="preserve">Due to the small size of the population covered by the collection, the potential for small cells is high. However, the risk of sensitive information disclosure is considered low, because:</w:t>
            </w:r>
          </w:p>
          <w:p>
            <w:pPr>
              <w:pStyle w:val="ListParagraph"/>
              <w:numPr>
                <w:ilvl w:val="0"/>
                <w:numId w:val="4"/>
              </w:numPr>
            </w:pPr>
            <w:r>
              <w:rPr>
                <w:rStyle w:val="row-content-rich-text"/>
              </w:rPr>
              <w:t xml:space="preserve">most report tables are aggregated to a national level</w:t>
            </w:r>
          </w:p>
          <w:p>
            <w:pPr>
              <w:pStyle w:val="ListParagraph"/>
              <w:numPr>
                <w:ilvl w:val="0"/>
                <w:numId w:val="4"/>
              </w:numPr>
            </w:pPr>
            <w:r>
              <w:rPr>
                <w:rStyle w:val="row-content-rich-text"/>
              </w:rPr>
              <w:t xml:space="preserve">there is the possibility that an observed placement is not finalised in the year it occurred (making the population of finalised adoption orders in a report difficult to observe, thus making it difficult to determine whether information about an observed adoptee is present in a particular report)</w:t>
            </w:r>
          </w:p>
          <w:p>
            <w:pPr>
              <w:pStyle w:val="ListParagraph"/>
              <w:numPr>
                <w:ilvl w:val="0"/>
                <w:numId w:val="4"/>
              </w:numPr>
            </w:pPr>
            <w:r>
              <w:rPr>
                <w:rStyle w:val="row-content-rich-text"/>
              </w:rPr>
              <w:t xml:space="preserve">most variables are considered of low sensitivity by national, state and territory adoption authorities, and some data are put in the public domain at a similar level of disaggregation by these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2017–18, of the 27 data tables in the aggregate collection:</w:t>
            </w:r>
          </w:p>
          <w:p>
            <w:pPr>
              <w:pStyle w:val="ListParagraph"/>
              <w:numPr>
                <w:ilvl w:val="0"/>
                <w:numId w:val="5"/>
              </w:numPr>
            </w:pPr>
            <w:r>
              <w:rPr>
                <w:rStyle w:val="row-content-rich-text"/>
              </w:rPr>
              <w:t xml:space="preserve">only 3 tables did not contain data for all jurisdictions, as New South Wales was unable to provide data for 2 tables and Western Australia for 1 table</w:t>
            </w:r>
          </w:p>
          <w:p>
            <w:pPr>
              <w:pStyle w:val="ListParagraph"/>
              <w:numPr>
                <w:ilvl w:val="0"/>
                <w:numId w:val="5"/>
              </w:numPr>
            </w:pPr>
            <w:r>
              <w:rPr>
                <w:rStyle w:val="row-content-rich-text"/>
              </w:rPr>
              <w:t xml:space="preserve">2 tables contain data recorded as unknown, but no tables had an unknown category that comprised more than 1% of the data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the National Working Party on Welfare Statistics (Australia) (from 1987–88 to 1989–90) and the Australian Bureau of Statistics (from 1979–80 to 1984–85). No national data were collected in 1985–86 and 1986–87, resulting in a break in trend data for these years.</w:t>
            </w:r>
          </w:p>
          <w:p>
            <w:pPr>
              <w:spacing w:after="160"/>
            </w:pPr>
            <w:r>
              <w:rPr>
                <w:rStyle w:val="row-content-rich-text"/>
              </w:rPr>
              <w:t xml:space="preserve">From the 1998–99 report onwards, the categories of adoption used in Adoptions Australia differ from those in previous publications. The categories were changed to better reflect the types of adoptions, and to bring the terminology more in line with that used by state and territory departments responsible for adoption. However, the new categories of adoption introduced in 1998–99 can still be mapped to those reported before this period, avoiding a break in trend data. See </w:t>
            </w:r>
            <w:r>
              <w:rPr>
                <w:rStyle w:val="row-content-rich-text"/>
                <w:i/>
              </w:rPr>
              <w:t xml:space="preserve">Adoptions Australia 2008–09</w:t>
            </w:r>
            <w:r>
              <w:rPr>
                <w:rStyle w:val="row-content-rich-text"/>
              </w:rPr>
              <w:t xml:space="preserve"> for further details (AIHW 2010a).</w:t>
            </w:r>
          </w:p>
          <w:p>
            <w:pPr>
              <w:spacing w:after="160"/>
            </w:pPr>
            <w:r>
              <w:rPr>
                <w:rStyle w:val="row-content-rich-text"/>
              </w:rPr>
              <w:t xml:space="preserve">Tables that have been consistently collected from 1990–91 onwards are comparable. In addition, data standards were carried over from the Australian Bureau of Statistics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national collection template. Before 2011–12, these data were not published as part of the Adoptions Australia report. In 2011–12, by agreement with the state and territory data custodians, these data were incorporated into the Adoptions Australia report (including trend data back to 2007–08). Due to restrictions on the release of Subclass 102 visa data to the AIHW by the Department of Immigration and Border Protection, introduced by the </w:t>
            </w:r>
            <w:r>
              <w:rPr>
                <w:rStyle w:val="row-content-rich-text"/>
                <w:i/>
              </w:rPr>
              <w:t xml:space="preserve">Australian Border Force Act 2015</w:t>
            </w:r>
            <w:r>
              <w:rPr>
                <w:rStyle w:val="row-content-rich-text"/>
              </w:rPr>
              <w:t xml:space="preserve">, visa data in 2014–15 and 2015–16 were heavily suppressed. New collection tables and national technical specifications were introduced in 2016–17 to allow alternative reporting of these data.</w:t>
            </w:r>
          </w:p>
          <w:p>
            <w:pPr>
              <w:spacing w:after="160"/>
            </w:pPr>
            <w:r>
              <w:rPr>
                <w:rStyle w:val="row-content-rich-text"/>
              </w:rPr>
              <w:t xml:space="preserve">From 2000 to 2007, the AIHW also provided the AGD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series, and the separate report was ceased.</w:t>
            </w:r>
          </w:p>
          <w:p>
            <w:pPr>
              <w:spacing w:after="160"/>
            </w:pPr>
            <w:r>
              <w:rPr>
                <w:rStyle w:val="row-content-rich-text"/>
              </w:rPr>
              <w:t xml:space="preserve"> </w:t>
            </w:r>
          </w:p>
          <w:p>
            <w:pPr>
              <w:pStyle w:val="Heading3"/>
            </w:pPr>
            <w:r>
              <w:rPr>
                <w:rStyle w:val="row-content-rich-text"/>
              </w:rPr>
              <w:t xml:space="preserve">Limitations of existing data</w:t>
            </w:r>
          </w:p>
          <w:p>
            <w:pPr>
              <w:spacing w:after="160"/>
            </w:pPr>
            <w:r>
              <w:rPr>
                <w:rStyle w:val="row-content-rich-text"/>
              </w:rPr>
              <w:t xml:space="preserve">Existing national adoptions data are constrained by several factors, including limits in information recorded on state and territory databases for administrative purposes</w:t>
            </w:r>
            <w:r>
              <w:br/>
            </w:r>
            <w:r>
              <w:rPr>
                <w:rStyle w:val="row-content-rich-text"/>
              </w:rPr>
              <w:t xml:space="preserve">(for known child adoptions, this is further constrained by the level of involvement the department has in the adoption process), and the capacity of countries of origin to capture relevant information about children and their families.</w:t>
            </w:r>
          </w:p>
          <w:p>
            <w:pPr>
              <w:spacing w:after="160"/>
            </w:pPr>
            <w:r>
              <w:rPr>
                <w:rStyle w:val="row-content-rich-text"/>
              </w:rPr>
              <w:t xml:space="preserve">For intercountry adoptees, it is common for only minimal information about the child’s history to be available. A study from the United States of America found that prospective parents adopting from Korea received more information about the child’s birth family, prenatal circumstances and perinatal events than those adopting from China, parts of Eastern Europe, Latin America (primarily Guatemala), the Philippines and India (Welsh et al. 2008).</w:t>
            </w:r>
          </w:p>
          <w:p>
            <w:pPr>
              <w:spacing w:after="160"/>
            </w:pPr>
            <w:r>
              <w:rPr>
                <w:rStyle w:val="row-content-rich-text"/>
              </w:rPr>
              <w:t xml:space="preserve">Several areas that could enrich the understanding of adoption in Australia have no reliable data source.</w:t>
            </w:r>
          </w:p>
          <w:p>
            <w:pPr>
              <w:pStyle w:val="Heading3"/>
            </w:pPr>
            <w:r>
              <w:rPr>
                <w:rStyle w:val="row-content-rich-text"/>
              </w:rPr>
              <w:t xml:space="preserve">Parents and families</w:t>
            </w:r>
          </w:p>
          <w:p>
            <w:pPr>
              <w:pStyle w:val="Heading4"/>
            </w:pPr>
            <w:r>
              <w:rPr>
                <w:rStyle w:val="row-content-rich-text"/>
              </w:rPr>
              <w:t xml:space="preserve">Adoptive families</w:t>
            </w:r>
          </w:p>
          <w:p>
            <w:pPr>
              <w:spacing w:after="160"/>
            </w:pPr>
            <w:r>
              <w:rPr>
                <w:rStyle w:val="row-content-rich-text"/>
              </w:rPr>
              <w:t xml:space="preserve">While reasonable demographic information on adoptive families is available for intercountry and local adoptions, comparable national data for known child adoptions are not currently available. For step-parent adoptions, this is due to the limited involvement of the state and territory departments responsible for adoption in the process. Expanding national data on adoptive families involved in carer (known child) adoptions was investigated curing 2016 and a pilot of additional data was run as part of the 2016–17 national collection. With the growing proportion of carer adoptions in the Australian adoption context, this information will become increasingly important to understanding adoption in Australia. New tables reporting expanded data on carer (known child) adoptions were incorporated into national reporting in 2017–18.</w:t>
            </w:r>
          </w:p>
          <w:p>
            <w:pPr>
              <w:spacing w:after="160"/>
            </w:pPr>
            <w:r>
              <w:rPr>
                <w:rStyle w:val="row-content-rich-text"/>
              </w:rPr>
              <w:t xml:space="preserve"> </w:t>
            </w:r>
          </w:p>
          <w:p>
            <w:pPr>
              <w:pStyle w:val="Heading4"/>
            </w:pPr>
            <w:r>
              <w:rPr>
                <w:rStyle w:val="row-content-rich-text"/>
              </w:rPr>
              <w:t xml:space="preserve">Families of intercountry adoptees</w:t>
            </w:r>
          </w:p>
          <w:p>
            <w:pPr>
              <w:spacing w:after="160"/>
            </w:pPr>
            <w:r>
              <w:rPr>
                <w:rStyle w:val="row-content-rich-text"/>
              </w:rPr>
              <w:t xml:space="preserve">An adopted child’s ability to adjust can be affected by the quality of relationships in the adoptive family. Unrealistic or rigid parental expectations, especially around the adopted child’s meeting of academic standards or societal norms, can interfere with adjustment (Passmore et al. 2009). In particular, for children with disability or medical conditions, the more informed adoptive parents are, the more capable they are of realistically anticipating problems. This, in turn, has been found to lead to more positive adjustment outcomes (Bornstein 2002).</w:t>
            </w:r>
          </w:p>
          <w:p>
            <w:pPr>
              <w:spacing w:after="160"/>
            </w:pPr>
            <w:r>
              <w:rPr>
                <w:rStyle w:val="row-content-rich-text"/>
              </w:rPr>
              <w:t xml:space="preserve">While research indicates the importance of adoptive parents’ access to historical information in improving post-adoption outcomes, the capacity of countries of origin to determine and record information about a child is constrained by economic and social issues, and varies between countries. The amount of information available is generally inconsistent and of poor quality, making it unsuitable for reporting.</w:t>
            </w:r>
          </w:p>
          <w:p>
            <w:pPr>
              <w:spacing w:after="160"/>
            </w:pPr>
            <w:r>
              <w:rPr>
                <w:rStyle w:val="row-content-rich-text"/>
              </w:rPr>
              <w:t xml:space="preserve"> </w:t>
            </w:r>
          </w:p>
          <w:p>
            <w:pPr>
              <w:pStyle w:val="Heading4"/>
            </w:pPr>
            <w:r>
              <w:rPr>
                <w:rStyle w:val="row-content-rich-text"/>
              </w:rPr>
              <w:t xml:space="preserve">Processing times for local and known child adoptions </w:t>
            </w:r>
          </w:p>
          <w:p>
            <w:pPr>
              <w:spacing w:after="160"/>
            </w:pPr>
            <w:r>
              <w:rPr>
                <w:rStyle w:val="row-content-rich-text"/>
              </w:rPr>
              <w:t xml:space="preserve">Adoption processing time frames in Australia are of significant interest to various stakeholders (from government officials, to prospective adoptive parents). Such data provide insights into the efficiency of contemporary adoption practices, and also speak to the lived experience of prospective parents seeking to form a family via adoption.</w:t>
            </w:r>
          </w:p>
          <w:p>
            <w:pPr>
              <w:spacing w:after="160"/>
            </w:pPr>
            <w:r>
              <w:rPr>
                <w:rStyle w:val="row-content-rich-text"/>
              </w:rPr>
              <w:t xml:space="preserve">Data in the Adoptions Australia report series currently provide an indication of the time involved in the intercountry adoption process and changes over time. However, data are not currently nationally available for the other types of adoption. For carer adoptions, complexities around when the process should be considered to have started make it difficult to capture nationally comparable data. The availability of data on processing times for local adoptions has not currently been explored. These data could provide useful information on the similarities or differences between types of adoption.</w:t>
            </w:r>
          </w:p>
          <w:p>
            <w:pPr>
              <w:spacing w:after="160"/>
            </w:pPr>
            <w:r>
              <w:rPr>
                <w:rStyle w:val="row-content-rich-text"/>
              </w:rPr>
              <w:t xml:space="preserve"> </w:t>
            </w:r>
          </w:p>
          <w:p>
            <w:pPr>
              <w:pStyle w:val="Heading4"/>
            </w:pPr>
            <w:r>
              <w:rPr>
                <w:rStyle w:val="row-content-rich-text"/>
              </w:rPr>
              <w:t xml:space="preserve">Prospective adoptive parents and children in need of adoption</w:t>
            </w:r>
          </w:p>
          <w:p>
            <w:pPr>
              <w:spacing w:after="160"/>
            </w:pPr>
            <w:r>
              <w:rPr>
                <w:rStyle w:val="row-content-rich-text"/>
              </w:rPr>
              <w:t xml:space="preserve">For intercountry adoption, national data have been reportable since 2011–12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The availability of similar data for local adoptions and for carers who have also been authorised as potential adoptive parents has not currently been explored.</w:t>
            </w:r>
          </w:p>
          <w:p>
            <w:pPr>
              <w:spacing w:after="160"/>
            </w:pPr>
            <w:r>
              <w:rPr>
                <w:rStyle w:val="row-content-rich-text"/>
              </w:rPr>
              <w:t xml:space="preserve">Similarly, there is currently no way of determining the current population of children in need of adoption.</w:t>
            </w:r>
          </w:p>
          <w:p>
            <w:pPr>
              <w:spacing w:after="160"/>
            </w:pPr>
            <w:r>
              <w:rPr>
                <w:rStyle w:val="row-content-rich-text"/>
              </w:rPr>
              <w:t xml:space="preserve">Information on both populations would help to inform the national picture of adoption in Australia, by providing insights into the present level of unmet need.</w:t>
            </w:r>
          </w:p>
          <w:p>
            <w:pPr>
              <w:spacing w:after="160"/>
            </w:pPr>
            <w:r>
              <w:rPr>
                <w:rStyle w:val="row-content-rich-text"/>
              </w:rPr>
              <w:t xml:space="preserve"> </w:t>
            </w:r>
          </w:p>
          <w:p>
            <w:pPr>
              <w:pStyle w:val="Heading4"/>
            </w:pPr>
            <w:r>
              <w:rPr>
                <w:rStyle w:val="row-content-rich-text"/>
              </w:rPr>
              <w:t xml:space="preserve">Adoptions of children with special needs</w:t>
            </w:r>
          </w:p>
          <w:p>
            <w:pPr>
              <w:spacing w:after="160"/>
            </w:pPr>
            <w:r>
              <w:rPr>
                <w:rStyle w:val="row-content-rich-text"/>
              </w:rPr>
              <w:t xml:space="preserve">Children with a broad range of characteristics and conditions that are deemed to pose potential barriers to the permanent placement of a child in their country of origin represent a growing proportion of the children for whom intercountry adoption is deemed appropriate. However, due to complexities in determining a consistent definition of ‘special needs’, data on the adoption of children with special needs have not previously been collected at the national level in Australia.</w:t>
            </w:r>
          </w:p>
          <w:p>
            <w:pPr>
              <w:spacing w:after="160"/>
            </w:pPr>
            <w:r>
              <w:rPr>
                <w:rStyle w:val="row-content-rich-text"/>
              </w:rPr>
              <w:t xml:space="preserve">‘Special needs’ for the purposes of adoption is not legally defined in Australia, and countries of origin classify cases of special needs differently. However, in addition to mental or physical disabilities, behavioural problems and/or emotional disorders, the term is also often applied (in the context of adoption) to a broad range of conditions deemed to pose potential barriers to the permanent placement of a child and/or affect the outcome of an adoption (HCCH 2005; Tan et al. 2007).</w:t>
            </w:r>
          </w:p>
          <w:p>
            <w:pPr>
              <w:spacing w:after="160"/>
            </w:pPr>
            <w:r>
              <w:rPr>
                <w:rStyle w:val="row-content-rich-text"/>
              </w:rPr>
              <w:t xml:space="preserve">Older children, and children who are part of a sibling group that is to be placed with the same adoptive family, might be considered as having special needs due to the added difficulty in finding a suitable family (Tan et al. 2007). For example, for local adoptions, Australian central authorities might consider children aged over 4 as having special needs, as they are likely to have been placed with multiple carers and have had fewer opportunities to develop close relationships with anyone. Further, many of these children have had a history of deprivation, abandonment and trauma, which can leave them with developmental delays and emotional vulnerabilities, requiring long-term therapeutic and intensive parenting to promote secure attachments (HCCH 2005; Roberson 2006; Spark et al. 2008).</w:t>
            </w:r>
          </w:p>
          <w:p>
            <w:pPr>
              <w:spacing w:after="160"/>
            </w:pPr>
            <w:r>
              <w:rPr>
                <w:rStyle w:val="row-content-rich-text"/>
              </w:rPr>
              <w:t xml:space="preserve">A national data development project was undertaken by the AIHW in cooperation with the Australian Government Department of Social Services and the state and territory departments responsible for adoption in 2016–17. This project explored options for collecting national data on intercountry ‘special needs’ adoptions. Based on recommendations from this development work it was determined that, due to the significant adjustment faced by intercountry adoptees, all children being placed for intercountry adoption have some degree of ‘special needs’. Contributing factors include language, cultural and other ethnic differences between the adoptees and their adoptive family’s countries of origin, as well as the likelihood of difficulties associated with sustained periods of institutional care and a complex early start to life. A suitable approach to defining ‘special needs’ would be one that was based on a child’s level of need within the adoption context. Under this approach all adopted children are considered to have varying degrees of ‘special needs’. Thus, a definition of ‘special needs’ within the adoption context should not seek to categorise certain children as ‘special needs’ (for example according to age, health status or care experience). Instead, an appropriate definition would focus on the </w:t>
            </w:r>
            <w:r>
              <w:rPr>
                <w:rStyle w:val="row-content-rich-text"/>
                <w:i/>
              </w:rPr>
              <w:t xml:space="preserve">level</w:t>
            </w:r>
            <w:r>
              <w:rPr>
                <w:rStyle w:val="row-content-rich-text"/>
              </w:rPr>
              <w:t xml:space="preserve"> and </w:t>
            </w:r>
            <w:r>
              <w:rPr>
                <w:rStyle w:val="row-content-rich-text"/>
                <w:i/>
              </w:rPr>
              <w:t xml:space="preserve">type</w:t>
            </w:r>
            <w:r>
              <w:rPr>
                <w:rStyle w:val="row-content-rich-text"/>
              </w:rPr>
              <w:t xml:space="preserve"> of support that children within the adoption system require to meet their needs.</w:t>
            </w:r>
          </w:p>
          <w:p>
            <w:pPr>
              <w:spacing w:after="160"/>
            </w:pPr>
            <w:r>
              <w:rPr>
                <w:rStyle w:val="row-content-rich-text"/>
              </w:rPr>
              <w:t xml:space="preserve">National definitions, technical specifications and collection tables were drafted as part of this work, and a field test of these data was conducted as part of the 2016–17 national collection. However, complexities in consistently classifying the level of need of adoptees both within jurisdiction and across jurisdictions make these data currently unsuitable for reporting. These data would help to further describe the population of children in need of adoption, inform prospective adoptive parents, and provide an indication of the types of supports required before and after adoption. A second field test of these data, using refined national technical specifications and definitions was conducted in 2017–18 with the intention of improving the national consistency of these data and moving towards having reportable national data.</w:t>
            </w:r>
          </w:p>
          <w:p>
            <w:pPr>
              <w:spacing w:after="160"/>
            </w:pPr>
            <w:r>
              <w:rPr>
                <w:rStyle w:val="row-content-rich-text"/>
              </w:rPr>
              <w:t xml:space="preserve"> </w:t>
            </w:r>
          </w:p>
          <w:p>
            <w:pPr>
              <w:pStyle w:val="Heading4"/>
            </w:pPr>
            <w:r>
              <w:rPr>
                <w:rStyle w:val="row-content-rich-text"/>
              </w:rPr>
              <w:t xml:space="preserve">Adoption services and supports</w:t>
            </w:r>
          </w:p>
          <w:p>
            <w:pPr>
              <w:spacing w:after="160"/>
            </w:pPr>
            <w:r>
              <w:rPr>
                <w:rStyle w:val="row-content-rich-text"/>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 Emotional support provided to adoptive parents by family and friends is also important for the success of an adoption (Spark et al. 2008).</w:t>
            </w:r>
          </w:p>
          <w:p>
            <w:pPr>
              <w:spacing w:after="160"/>
            </w:pPr>
            <w:r>
              <w:rPr>
                <w:rStyle w:val="row-content-rich-text"/>
              </w:rPr>
              <w:t xml:space="preserve">In 2009, the Intercountry Adoption Harmonisation Working Group announced the completion of the Nationally Consistent Core Curriculum. This is a framework consisting of 9 compulsory education and training units that help prospective adoptive parents understand and develop realistic expectations about the adoption process (AGD 2012). Such initiatives help make pre‑adoption services more widely available across Australia.</w:t>
            </w:r>
          </w:p>
          <w:p>
            <w:pPr>
              <w:spacing w:after="160"/>
            </w:pPr>
            <w:r>
              <w:rPr>
                <w:rStyle w:val="row-content-rich-text"/>
              </w:rPr>
              <w:t xml:space="preserve">Previous studies have highlighted some post-adoption support services needed by adoptive parents. These are particularly important for adoptive families of children with special needs. These services include support or counselling services, respite care services, financial support, advocacy services, support for siblings, special education services, emergency assistance, and crisis intervention services (Reilly &amp; Platz 2008).</w:t>
            </w:r>
          </w:p>
          <w:p>
            <w:pPr>
              <w:spacing w:after="160"/>
            </w:pPr>
            <w:r>
              <w:rPr>
                <w:rStyle w:val="row-content-rich-text"/>
              </w:rPr>
              <w:t xml:space="preserve">The importance of post-adoption support services has also been acknowledged in other countries. A recent report from the United Kingdom House of Lords Select Committee on Adoption Legislation (2013) recommended the introduction of a statutory duty on local authorities and service providers to cooperate to provide post-adoption support.</w:t>
            </w:r>
          </w:p>
          <w:p>
            <w:pPr>
              <w:spacing w:after="160"/>
            </w:pPr>
            <w:r>
              <w:rPr>
                <w:rStyle w:val="row-content-rich-text"/>
              </w:rPr>
              <w:t xml:space="preserve">Post-adoption support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 (Banks 2009).</w:t>
            </w:r>
          </w:p>
          <w:p>
            <w:pPr>
              <w:spacing w:after="160"/>
            </w:pPr>
            <w:r>
              <w:rPr>
                <w:rStyle w:val="row-content-rich-text"/>
              </w:rPr>
              <w:t xml:space="preserve">To understand adoption in Australia, it is important to know how adoptees and adoptive families fare after an adoption is finalised. However, once an adoption is finalised, it is difficult to identify an adoptee in administrative data, as they are legally no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are difficult to ascertain.</w:t>
            </w:r>
          </w:p>
          <w:p>
            <w:pPr>
              <w:spacing w:after="160"/>
            </w:pPr>
            <w:r>
              <w:rPr>
                <w:rStyle w:val="row-content-rich-text"/>
              </w:rPr>
              <w:t xml:space="preserve"> </w:t>
            </w:r>
          </w:p>
          <w:p>
            <w:pPr>
              <w:pStyle w:val="Heading4"/>
            </w:pPr>
            <w:r>
              <w:rPr>
                <w:rStyle w:val="row-content-rich-text"/>
              </w:rPr>
              <w:t xml:space="preserve">Addressing information gaps</w:t>
            </w:r>
          </w:p>
          <w:p>
            <w:pPr/>
            <w:r>
              <w:rPr>
                <w:rStyle w:val="row-content-rich-text"/>
              </w:rPr>
              <w:t xml:space="preserve">The AIHW, with the support of the state and territory departments responsible for adoption and other national agencies, such as the Australian Government Attorney General’s Department and the Australian Government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325d807c0748c1">
              <w:r>
                <w:rPr>
                  <w:rStyle w:val="Hyperlink"/>
                </w:rPr>
                <w:t xml:space="preserve">Adoptions Australia 2016–17; Quality Statement </w:t>
              </w:r>
            </w:hyperlink>
          </w:p>
          <w:p>
            <w:pPr>
              <w:spacing w:before="0" w:after="0"/>
            </w:pPr>
            <w:r>
              <w:rPr>
                <w:rStyle w:val="row-content"/>
                <w:color w:val="244061"/>
              </w:rPr>
              <w:t xml:space="preserve">       </w:t>
            </w:r>
            <w:hyperlink w:history="true" r:id="Rf26bc884ded14a7d">
              <w:r>
                <w:rPr>
                  <w:rStyle w:val="Hyperlink"/>
                  <w:color w:val="244061"/>
                </w:rPr>
                <w:t xml:space="preserve">AIHW Data Quality Statements</w:t>
              </w:r>
            </w:hyperlink>
            <w:r>
              <w:rPr>
                <w:rStyle w:val="row-content"/>
                <w:color w:val="244061"/>
              </w:rPr>
              <w:t xml:space="preserve">, Superseded 12/12/2018</w:t>
            </w:r>
          </w:p>
          <w:p>
            <w:r>
              <w:br/>
            </w:r>
            <w:r>
              <w:rPr>
                <w:rStyle w:val="row-content"/>
              </w:rPr>
              <w:t xml:space="preserve">Has been superseded by </w:t>
            </w:r>
            <w:hyperlink w:history="true" r:id="R2f85d69e62ab4510">
              <w:r>
                <w:rPr>
                  <w:rStyle w:val="Hyperlink"/>
                </w:rPr>
                <w:t xml:space="preserve">Adoptions Australia 2018–19; Quality Statement </w:t>
              </w:r>
            </w:hyperlink>
          </w:p>
          <w:p>
            <w:pPr>
              <w:spacing w:before="0" w:after="0"/>
            </w:pPr>
            <w:r>
              <w:rPr>
                <w:rStyle w:val="row-content"/>
                <w:color w:val="244061"/>
              </w:rPr>
              <w:t xml:space="preserve">       </w:t>
            </w:r>
            <w:hyperlink w:history="true" r:id="R003f4fc2afad4517">
              <w:r>
                <w:rPr>
                  <w:rStyle w:val="Hyperlink"/>
                  <w:color w:val="244061"/>
                </w:rPr>
                <w:t xml:space="preserve">AIHW Data Quality Statements</w:t>
              </w:r>
            </w:hyperlink>
            <w:r>
              <w:rPr>
                <w:rStyle w:val="row-content"/>
                <w:color w:val="244061"/>
              </w:rPr>
              <w:t xml:space="preserve">, Standard 13/12/2019</w:t>
            </w:r>
          </w:p>
          <w:p>
            <w:r>
              <w:br/>
            </w:r>
          </w:p>
        </w:tc>
      </w:tr>
    </w:tbl>
    <w:p>
      <w:r>
        <w:br/>
      </w:r>
    </w:p>
    <w:sectPr>
      <w:footerReference xmlns:r="http://schemas.openxmlformats.org/officeDocument/2006/relationships" w:type="default" r:id="Rb58ef67f80c0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ed8cf4e50e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8ef67f80c045cc" /><Relationship Type="http://schemas.openxmlformats.org/officeDocument/2006/relationships/header" Target="/word/header1.xml" Id="R2bc85dc1fe4d47f8" /><Relationship Type="http://schemas.openxmlformats.org/officeDocument/2006/relationships/settings" Target="/word/settings.xml" Id="Rad76e684b790477e" /><Relationship Type="http://schemas.openxmlformats.org/officeDocument/2006/relationships/styles" Target="/word/styles.xml" Id="Rceecbddf29154da0" /><Relationship Type="http://schemas.openxmlformats.org/officeDocument/2006/relationships/hyperlink" Target="https://meteor.aihw.gov.au/RegistrationAuthority/5" TargetMode="External" Id="Ra1e58357f24a44d2" /><Relationship Type="http://schemas.openxmlformats.org/officeDocument/2006/relationships/numbering" Target="/word/numbering.xml" Id="R5e4748d6beb048a5" /><Relationship Type="http://schemas.openxmlformats.org/officeDocument/2006/relationships/hyperlink" Target="http://www.aihw.gov.au" TargetMode="External" Id="R6f919aab5e0844f5" /><Relationship Type="http://schemas.openxmlformats.org/officeDocument/2006/relationships/hyperlink" Target="http://www.aihw.gov.au" TargetMode="External" Id="R209f42e70fab4ec7" /><Relationship Type="http://schemas.openxmlformats.org/officeDocument/2006/relationships/hyperlink" Target="mailto:info@aihw.gov.au" TargetMode="External" Id="R29d73c5072044e57" /><Relationship Type="http://schemas.openxmlformats.org/officeDocument/2006/relationships/hyperlink" Target="mailto:info@aihw.gov.au" TargetMode="External" Id="R6e5f6c4d92524f29" /><Relationship Type="http://schemas.openxmlformats.org/officeDocument/2006/relationships/hyperlink" Target="https://meteor.aihw.gov.au/content/687176" TargetMode="External" Id="R32325d807c0748c1" /><Relationship Type="http://schemas.openxmlformats.org/officeDocument/2006/relationships/hyperlink" Target="https://meteor.aihw.gov.au/RegistrationAuthority/5" TargetMode="External" Id="Rf26bc884ded14a7d" /><Relationship Type="http://schemas.openxmlformats.org/officeDocument/2006/relationships/hyperlink" Target="https://meteor.aihw.gov.au/content/722746" TargetMode="External" Id="R2f85d69e62ab4510" /><Relationship Type="http://schemas.openxmlformats.org/officeDocument/2006/relationships/hyperlink" Target="https://meteor.aihw.gov.au/RegistrationAuthority/5" TargetMode="External" Id="R003f4fc2afad4517" /></Relationships>
</file>

<file path=word/_rels/header1.xml.rels>&#65279;<?xml version="1.0" encoding="utf-8"?><Relationships xmlns="http://schemas.openxmlformats.org/package/2006/relationships"><Relationship Type="http://schemas.openxmlformats.org/officeDocument/2006/relationships/image" Target="/media/image.png" Id="R1eed8cf4e50e4e82" /></Relationships>
</file>