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130c155fe88457b" /></Relationships>
</file>

<file path=word/document.xml><?xml version="1.0" encoding="utf-8"?>
<w:document xmlns:r="http://schemas.openxmlformats.org/officeDocument/2006/relationships" xmlns:w="http://schemas.openxmlformats.org/wordprocessingml/2006/main">
  <w:body>
    <w:p>
      <w:pPr>
        <w:pStyle w:val="Title"/>
      </w:pPr>
      <w:r>
        <w:t>Child—reunification type, code N[N]</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Child—reunification type, code N[N]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Reunification type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706941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61bc44b2ee714fff">
              <w:r>
                <w:rPr>
                  <w:rStyle w:val="Hyperlink"/>
                  <w:color w:val="244061"/>
                </w:rPr>
                <w:t xml:space="preserve">Children and Families</w:t>
              </w:r>
            </w:hyperlink>
            <w:r>
              <w:rPr>
                <w:rStyle w:val="row-content"/>
                <w:color w:val="244061"/>
              </w:rPr>
              <w:t xml:space="preserve">, Superseded 20/01/2021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family type to which a child was returned when a funded </w:t>
            </w:r>
            <w:hyperlink w:tooltip="Out-of-home care (OOHC) is one of a range of programs provided to children and young people under 18 years of age who are in need of care and protection. This program provides alternative overnight accommodation for children and young people who are un..." w:history="true" r:id="R32c130ce61214ec3">
              <w:r>
                <w:rPr>
                  <w:rStyle w:val="Hyperlink"/>
                  <w:b/>
                </w:rPr>
                <w:t xml:space="preserve">out-of-home care </w:t>
              </w:r>
            </w:hyperlink>
            <w:r>
              <w:rPr>
                <w:rStyle w:val="row-content-rich-text"/>
              </w:rPr>
              <w:t xml:space="preserve">placement has ended, as represented by a 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cf318e4c44c04694">
              <w:r>
                <w:rPr>
                  <w:rStyle w:val="Hyperlink"/>
                </w:rPr>
                <w:t xml:space="preserve">Child—reunification type </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a43d43f204ed470f">
              <w:r>
                <w:rPr>
                  <w:rStyle w:val="Hyperlink"/>
                </w:rPr>
                <w:t xml:space="preserve">Type of reunification arrangement code N[N]</w:t>
              </w:r>
            </w:hyperlink>
          </w:p>
        </w:tc>
      </w:tr>
    </w:tbl>
    <w:p/>
    <w:tbl>
      <w:tblPr>
        <w:tblStyle w:val="TableGrid"/>
        <w:tblW w:w="0" w:type="auto"/>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Code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rPr>
                <w:b/>
              </w:rPr>
              <w:t xml:space="preserve">Value</w:t>
            </w:r>
          </w:p>
        </w:tc>
        <w:tc>
          <w:tcPr>
            <w:tcBorders>
              <w:top w:val="none" w:color="000000" w:sz="0"/>
              <w:left w:val="none" w:color="000000" w:sz="0"/>
              <w:bottom w:val="none" w:color="000000" w:sz="0"/>
              <w:right w:val="none" w:color="000000" w:sz="0"/>
            </w:tcBorders>
            <w:vAlign w:val="top"/>
          </w:tcPr>
          <w:p>
            <w:r>
              <w:rPr>
                <w:b/>
              </w:rPr>
              <w:t xml:space="preserve">Meaning</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Permissible values:</w:t>
            </w:r>
          </w:p>
        </w:tc>
        <w:tc>
          <w:tcPr>
            <w:tcW w:w="1000" w:type="pct"/>
            <w:tcBorders>
              <w:top w:val="none" w:color="000000" w:sz="0"/>
              <w:left w:val="none" w:color="000000" w:sz="0"/>
              <w:bottom w:val="none" w:color="000000" w:sz="0"/>
              <w:right w:val="none" w:color="000000" w:sz="0"/>
            </w:tcBorders>
            <w:vAlign w:val="top"/>
          </w:tcPr>
          <w:p>
            <w:r>
              <w:t xml:space="preserve">1</w:t>
            </w:r>
          </w:p>
        </w:tc>
        <w:tc>
          <w:tcPr>
            <w:tcBorders>
              <w:top w:val="none" w:color="000000" w:sz="0"/>
              <w:left w:val="none" w:color="000000" w:sz="0"/>
              <w:bottom w:val="none" w:color="000000" w:sz="0"/>
              <w:right w:val="none" w:color="000000" w:sz="0"/>
            </w:tcBorders>
            <w:vAlign w:val="top"/>
          </w:tcPr>
          <w:p>
            <w:r>
              <w:t xml:space="preserve">Reunification with birth parent/s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2</w:t>
            </w:r>
          </w:p>
        </w:tc>
        <w:tc>
          <w:tcPr>
            <w:tcBorders>
              <w:top w:val="none" w:color="000000" w:sz="0"/>
              <w:left w:val="none" w:color="000000" w:sz="0"/>
              <w:bottom w:val="none" w:color="000000" w:sz="0"/>
              <w:right w:val="none" w:color="000000" w:sz="0"/>
            </w:tcBorders>
            <w:vAlign w:val="top"/>
          </w:tcPr>
          <w:p>
            <w:r>
              <w:t xml:space="preserve">Reunification with Indigenous relatives/kin (other than birth parents)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3</w:t>
            </w:r>
          </w:p>
        </w:tc>
        <w:tc>
          <w:tcPr>
            <w:tcBorders>
              <w:top w:val="none" w:color="000000" w:sz="0"/>
              <w:left w:val="none" w:color="000000" w:sz="0"/>
              <w:bottom w:val="none" w:color="000000" w:sz="0"/>
              <w:right w:val="none" w:color="000000" w:sz="0"/>
            </w:tcBorders>
            <w:vAlign w:val="top"/>
          </w:tcPr>
          <w:p>
            <w:r>
              <w:t xml:space="preserve">Reunification with other relatives/kin (other than birth parents)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4</w:t>
            </w:r>
          </w:p>
        </w:tc>
        <w:tc>
          <w:tcPr>
            <w:tcBorders>
              <w:top w:val="none" w:color="000000" w:sz="0"/>
              <w:left w:val="none" w:color="000000" w:sz="0"/>
              <w:bottom w:val="none" w:color="000000" w:sz="0"/>
              <w:right w:val="none" w:color="000000" w:sz="0"/>
            </w:tcBorders>
            <w:vAlign w:val="top"/>
          </w:tcPr>
          <w:p>
            <w:r>
              <w:t xml:space="preserve">Reunification – Other/Not further specified</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Supplementary values:</w:t>
            </w:r>
          </w:p>
        </w:tc>
        <w:tc>
          <w:tcPr>
            <w:tcW w:w="1000" w:type="pct"/>
            <w:tcBorders>
              <w:top w:val="none" w:color="000000" w:sz="0"/>
              <w:left w:val="none" w:color="000000" w:sz="0"/>
              <w:bottom w:val="none" w:color="000000" w:sz="0"/>
              <w:right w:val="none" w:color="000000" w:sz="0"/>
            </w:tcBorders>
            <w:vAlign w:val="top"/>
          </w:tcPr>
          <w:p>
            <w:r>
              <w:t xml:space="preserve">97</w:t>
            </w:r>
          </w:p>
        </w:tc>
        <w:tc>
          <w:tcPr>
            <w:tcBorders>
              <w:top w:val="none" w:color="000000" w:sz="0"/>
              <w:left w:val="none" w:color="000000" w:sz="0"/>
              <w:bottom w:val="none" w:color="000000" w:sz="0"/>
              <w:right w:val="none" w:color="000000" w:sz="0"/>
            </w:tcBorders>
            <w:vAlign w:val="top"/>
          </w:tcPr>
          <w:p>
            <w:r>
              <w:t xml:space="preserve">Not applicable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 </w:t>
            </w:r>
          </w:p>
        </w:tc>
        <w:tc>
          <w:tcPr>
            <w:tcW w:w="1000" w:type="pct"/>
            <w:tcBorders>
              <w:top w:val="none" w:color="000000" w:sz="0"/>
              <w:left w:val="none" w:color="000000" w:sz="0"/>
              <w:bottom w:val="none" w:color="000000" w:sz="0"/>
              <w:right w:val="none" w:color="000000" w:sz="0"/>
            </w:tcBorders>
            <w:vAlign w:val="top"/>
          </w:tcPr>
          <w:p>
            <w:r>
              <w:t xml:space="preserve">99</w:t>
            </w:r>
            <w:r>
              <w:br/>
            </w:r>
            <w:r>
              <w:t xml:space="preserve"> </w:t>
            </w:r>
          </w:p>
        </w:tc>
        <w:tc>
          <w:tcPr>
            <w:tcBorders>
              <w:top w:val="none" w:color="000000" w:sz="0"/>
              <w:left w:val="none" w:color="000000" w:sz="0"/>
              <w:bottom w:val="none" w:color="000000" w:sz="0"/>
              <w:right w:val="none" w:color="000000" w:sz="0"/>
            </w:tcBorders>
            <w:vAlign w:val="top"/>
          </w:tcPr>
          <w:p>
            <w:r>
              <w:t xml:space="preserve">Not stated/inadequately described</w:t>
            </w:r>
            <w:r>
              <w:br/>
            </w:r>
            <w:r>
              <w:t xml:space="preserve"> </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CODE 1   Reunification with birth parent/s</w:t>
            </w:r>
          </w:p>
          <w:p>
            <w:pPr>
              <w:spacing w:after="160"/>
            </w:pPr>
            <w:r>
              <w:rPr>
                <w:rStyle w:val="row-content-rich-text"/>
              </w:rPr>
              <w:t xml:space="preserve">Where the child will be reunified with one or both birth parents.</w:t>
            </w:r>
          </w:p>
          <w:p>
            <w:pPr>
              <w:spacing w:after="160"/>
            </w:pPr>
            <w:r>
              <w:rPr>
                <w:rStyle w:val="row-content-rich-text"/>
              </w:rPr>
              <w:t xml:space="preserve">The Department/agency will have transferred full parental guardianship/custody of the child back to the birth parent within the reporting period. Only Department/agency-approved reunifications are included. This includes children who self-reunified, with subsequent endorsement by the Department/agency.</w:t>
            </w:r>
          </w:p>
          <w:p>
            <w:pPr>
              <w:spacing w:after="160"/>
            </w:pPr>
            <w:r>
              <w:rPr>
                <w:rStyle w:val="row-content-rich-text"/>
              </w:rPr>
              <w:t xml:space="preserve">CODE 2   Reunification with Indigenous relatives/kin (other than birth parents)</w:t>
            </w:r>
          </w:p>
          <w:p>
            <w:pPr>
              <w:spacing w:after="160"/>
            </w:pPr>
            <w:r>
              <w:rPr>
                <w:rStyle w:val="row-content-rich-text"/>
              </w:rPr>
              <w:t xml:space="preserve">Where the child will be reunified with Indigenous relatives/kin other than birth parents. Includes members of Indigenous communities who are a relative of the child (other than parents) or who are accepted by that community as being related to the child. The Department/agency will have transferred full parental guardianship/custody of the child back to Indigenous relatives/kin within the reporting period.</w:t>
            </w:r>
          </w:p>
          <w:p>
            <w:pPr>
              <w:spacing w:after="160"/>
            </w:pPr>
            <w:r>
              <w:rPr>
                <w:rStyle w:val="row-content-rich-text"/>
              </w:rPr>
              <w:t xml:space="preserve">CODE 3    Reunification with other relatives/kin (other than birth parents)</w:t>
            </w:r>
          </w:p>
          <w:p>
            <w:pPr>
              <w:spacing w:after="160"/>
            </w:pPr>
            <w:r>
              <w:rPr>
                <w:rStyle w:val="row-content-rich-text"/>
              </w:rPr>
              <w:t xml:space="preserve">Where the child will be reunified with relatives/kin other than birth parents. Includes non-Indigenous relatives or relatives of unknown Indigenous status (other than parents), or caregivers who are considered to be family or a close friend, or is a member of the child or young person's community (in accordance with their culture). The Department/agency will have transferred full parental guardianship/custody of the child back to relatives/kin within the reporting period.</w:t>
            </w:r>
          </w:p>
          <w:p>
            <w:pPr>
              <w:spacing w:after="160"/>
            </w:pPr>
            <w:r>
              <w:rPr>
                <w:rStyle w:val="row-content-rich-text"/>
              </w:rPr>
              <w:t xml:space="preserve">CODE 4   Reunification – Other/Not further specified</w:t>
            </w:r>
          </w:p>
          <w:p>
            <w:pPr>
              <w:spacing w:after="160"/>
            </w:pPr>
            <w:r>
              <w:rPr>
                <w:rStyle w:val="row-content-rich-text"/>
              </w:rPr>
              <w:t xml:space="preserve">Where the child was reunified with a person or persons other than their birth parents, or other relatives/kin. This category may include reunification to a former guardian (other than those specified above). This category may be used when it is known that a reunification attempt has been made, but where it is not possible to classify who a child was reunified with.</w:t>
            </w:r>
          </w:p>
          <w:p>
            <w:pPr>
              <w:spacing w:after="160"/>
            </w:pPr>
            <w:r>
              <w:rPr>
                <w:rStyle w:val="row-content-rich-text"/>
              </w:rPr>
              <w:t xml:space="preserve"> </w:t>
            </w:r>
          </w:p>
          <w:p>
            <w:pPr>
              <w:spacing w:after="160"/>
            </w:pPr>
            <w:r>
              <w:rPr>
                <w:rStyle w:val="row-content-rich-text"/>
              </w:rPr>
              <w:t xml:space="preserve">CODE 97   Not applicable</w:t>
            </w:r>
          </w:p>
          <w:p>
            <w:pPr>
              <w:spacing w:after="160"/>
            </w:pPr>
            <w:r>
              <w:rPr>
                <w:rStyle w:val="row-content-rich-text"/>
              </w:rPr>
              <w:t xml:space="preserve">The client has not exited funded out-of-home care; or the client has exited funded out-of-home care but not for a reunification attempt; or the living arrangement is not a funded out-of-home care placement provided by a funded agency (e.g. living with parents, independent living, other living arrangements).</w:t>
            </w:r>
          </w:p>
          <w:p>
            <w:pPr>
              <w:spacing w:after="160"/>
            </w:pPr>
            <w:r>
              <w:rPr>
                <w:rStyle w:val="row-content-rich-text"/>
              </w:rPr>
              <w:t xml:space="preserve">CODE 99   Not stated/inadequately described</w:t>
            </w:r>
          </w:p>
          <w:p>
            <w:pPr/>
            <w:r>
              <w:rPr>
                <w:rStyle w:val="row-content-rich-text"/>
              </w:rPr>
              <w:t xml:space="preserve">Where it is unknown whether the child was provided with a permanent care arrangement during the reporting period.</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family type to which a child was returned when a funded out-of-home care placement has ended.</w:t>
            </w:r>
          </w:p>
          <w:p>
            <w:pPr/>
            <w:r>
              <w:rPr>
                <w:rStyle w:val="row-content-rich-text"/>
              </w:rPr>
              <w:t xml:space="preserve">This excludes trial reunifications where the out-of-home care placement remains open.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 Australian Institute of Health and Welfare</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Origin:</w:t>
            </w:r>
          </w:p>
        </w:tc>
        <w:tc>
          <w:tcPr>
            <w:tcBorders>
              <w:top w:val="none" w:color="000000" w:sz="0"/>
              <w:left w:val="none" w:color="000000" w:sz="0"/>
              <w:bottom w:val="none" w:color="000000" w:sz="0"/>
              <w:right w:val="none" w:color="000000" w:sz="0"/>
            </w:tcBorders>
            <w:vAlign w:val="top"/>
          </w:tcPr>
          <w:p>
            <w:pPr/>
            <w:r>
              <w:rPr>
                <w:rStyle w:val="row-content-rich-text"/>
              </w:rPr>
              <w:t xml:space="preserve">Australian Institute of Health and Welfare (AIHW) 2018. Child protection national minimum data set, data collection manual 2017–18. Canberra: AIHW.</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Has been superseded by </w:t>
            </w:r>
            <w:hyperlink w:history="true" r:id="Rb0cc7c3dab984358">
              <w:r>
                <w:rPr>
                  <w:rStyle w:val="Hyperlink"/>
                </w:rPr>
                <w:t xml:space="preserve">Child—reunification type, code N[N]</w:t>
              </w:r>
            </w:hyperlink>
          </w:p>
          <w:p>
            <w:pPr>
              <w:pStyle w:val="registration-status"/>
              <w:spacing w:before="0" w:after="0"/>
            </w:pPr>
            <w:hyperlink w:history="true" r:id="R691095a42b444e67">
              <w:r>
                <w:rPr>
                  <w:rStyle w:val="Hyperlink"/>
                  <w:color w:val="244061"/>
                </w:rPr>
                <w:t xml:space="preserve">Children and Families</w:t>
              </w:r>
            </w:hyperlink>
            <w:r>
              <w:rPr>
                <w:rStyle w:val="row-content"/>
                <w:color w:val="244061"/>
              </w:rPr>
              <w:t xml:space="preserve">, Standard 20/01/2021</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28e2de58483d4d35">
              <w:r>
                <w:rPr>
                  <w:rStyle w:val="Hyperlink"/>
                </w:rPr>
                <w:t xml:space="preserve">Living arrangements for children under care (LA) file cluster</w:t>
              </w:r>
            </w:hyperlink>
          </w:p>
          <w:p>
            <w:pPr>
              <w:pStyle w:val="registration-status"/>
              <w:spacing w:before="0" w:after="0"/>
            </w:pPr>
            <w:hyperlink w:history="true" r:id="R894d8dc833654498">
              <w:r>
                <w:rPr>
                  <w:rStyle w:val="Hyperlink"/>
                  <w:color w:val="244061"/>
                </w:rPr>
                <w:t xml:space="preserve">Children and Families</w:t>
              </w:r>
            </w:hyperlink>
            <w:r>
              <w:rPr>
                <w:rStyle w:val="row-content"/>
                <w:color w:val="244061"/>
              </w:rPr>
              <w:t xml:space="preserve">, Superseded 20/01/2021</w:t>
            </w:r>
          </w:p>
          <w:p>
            <w:r>
              <w:br/>
            </w:r>
          </w:p>
        </w:tc>
      </w:tr>
    </w:tbl>
    <w:p/>
    <w:tbl>
      <w:tblPr>
        <w:tblStyle w:val="TableGrid"/>
        <w:tblW w:w="0" w:type="auto"/>
      </w:tblPr>
    </w:tbl>
    <w:p>
      <w:r>
        <w:br/>
      </w:r>
    </w:p>
    <w:sectPr>
      <w:footerReference xmlns:r="http://schemas.openxmlformats.org/officeDocument/2006/relationships" w:type="default" r:id="R8e8c615747b9493f"/>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706941</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d70ba80d5c8346c8"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8e8c615747b9493f" /><Relationship Type="http://schemas.openxmlformats.org/officeDocument/2006/relationships/header" Target="/word/header1.xml" Id="Rb42ef79e71974fff" /><Relationship Type="http://schemas.openxmlformats.org/officeDocument/2006/relationships/settings" Target="/word/settings.xml" Id="R2043e09b0c18451c" /><Relationship Type="http://schemas.openxmlformats.org/officeDocument/2006/relationships/styles" Target="/word/styles.xml" Id="R7a9346e11e604697" /><Relationship Type="http://schemas.openxmlformats.org/officeDocument/2006/relationships/hyperlink" Target="https://meteor.aihw.gov.au/RegistrationAuthority/17" TargetMode="External" Id="R61bc44b2ee714fff" /><Relationship Type="http://schemas.openxmlformats.org/officeDocument/2006/relationships/hyperlink" Target="https://meteor.aihw.gov.au/content/459120" TargetMode="External" Id="R32c130ce61214ec3" /><Relationship Type="http://schemas.openxmlformats.org/officeDocument/2006/relationships/hyperlink" Target="https://meteor.aihw.gov.au/content/706937" TargetMode="External" Id="Rcf318e4c44c04694" /><Relationship Type="http://schemas.openxmlformats.org/officeDocument/2006/relationships/hyperlink" Target="https://meteor.aihw.gov.au/content/706939" TargetMode="External" Id="Ra43d43f204ed470f" /><Relationship Type="http://schemas.openxmlformats.org/officeDocument/2006/relationships/hyperlink" Target="https://meteor.aihw.gov.au/content/737464" TargetMode="External" Id="Rb0cc7c3dab984358" /><Relationship Type="http://schemas.openxmlformats.org/officeDocument/2006/relationships/hyperlink" Target="https://meteor.aihw.gov.au/RegistrationAuthority/17" TargetMode="External" Id="R691095a42b444e67" /><Relationship Type="http://schemas.openxmlformats.org/officeDocument/2006/relationships/hyperlink" Target="https://meteor.aihw.gov.au/content/706943" TargetMode="External" Id="R28e2de58483d4d35" /><Relationship Type="http://schemas.openxmlformats.org/officeDocument/2006/relationships/hyperlink" Target="https://meteor.aihw.gov.au/RegistrationAuthority/17" TargetMode="External" Id="R894d8dc833654498" /></Relationships>
</file>

<file path=word/_rels/header1.xml.rels>&#65279;<?xml version="1.0" encoding="utf-8"?><Relationships xmlns="http://schemas.openxmlformats.org/package/2006/relationships"><Relationship Type="http://schemas.openxmlformats.org/officeDocument/2006/relationships/image" Target="/media/image.png" Id="Rd70ba80d5c8346c8" /></Relationships>
</file>