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1d1046d7d14b87"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2016–17: National Mental Health Establishments Database,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2016–17: National Mental Health Establishments Database,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72be09fcb34b82">
              <w:r>
                <w:rPr>
                  <w:rStyle w:val="Hyperlink"/>
                  <w:color w:val="244061"/>
                </w:rPr>
                <w:t xml:space="preserve">AIHW Data Quality Statements</w:t>
              </w:r>
            </w:hyperlink>
            <w:r>
              <w:rPr>
                <w:rStyle w:val="row-content"/>
                <w:color w:val="244061"/>
              </w:rPr>
              <w:t xml:space="preserve">, Standard 21/03/2019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long term nature of the data contained in the National Mental Health Establishments Database (NMHED) means any analysis must consider all of the coherence caveats included in this quality statement. These specify classification changes from year to year. For example, changes to the classification of services from hospital to residential services.</w:t>
            </w:r>
          </w:p>
          <w:p>
            <w:pPr>
              <w:pStyle w:val="ListParagraph"/>
              <w:numPr>
                <w:ilvl w:val="0"/>
                <w:numId w:val="2"/>
              </w:numPr>
            </w:pPr>
            <w:r>
              <w:rPr>
                <w:rStyle w:val="row-content-rich-text"/>
              </w:rPr>
              <w:t xml:space="preserve">Service level expenditure comparisons between states and territories must take into consideration the service profile mix in each jurisdiction. </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 The NMHED is specified by the Mental health establishments (MHE) National Minimum Data Set (NMDS) (see </w:t>
            </w:r>
            <w:hyperlink w:history="true" r:id="Rc38e932e69004135">
              <w:r>
                <w:rPr>
                  <w:rStyle w:val="Hyperlink"/>
                </w:rPr>
                <w:t xml:space="preserve">link</w:t>
              </w:r>
            </w:hyperlink>
            <w:r>
              <w:rPr>
                <w:rStyle w:val="row-content-rich-text"/>
              </w:rPr>
              <w:t xml:space="preserve">).</w:t>
            </w:r>
          </w:p>
          <w:p>
            <w:pPr>
              <w:spacing w:after="160"/>
            </w:pPr>
            <w:r>
              <w:rPr>
                <w:rStyle w:val="row-content-rich-text"/>
              </w:rPr>
              <w:t xml:space="preserve">The NMHED includes data from 1992–93 to 2016–17. Since 2005–06 data have been compiled as specified by the MHE NMDS. Prior to this (1992–92 to 2004–05), data were collected through the National Survey of Mental Health Services, managed by the Australian Government Department of Health, and the Community Mental Health Establishments NMDS.</w:t>
            </w:r>
            <w:r>
              <w:rPr>
                <w:rStyle w:val="row-content-rich-text"/>
              </w:rPr>
              <w:t xml:space="preserve">  </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spacing w:after="160"/>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1c9fae3e385418e">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f54dc20c614743a8">
              <w:r>
                <w:rPr>
                  <w:rStyle w:val="Hyperlink"/>
                  <w:i/>
                </w:rPr>
                <w:t xml:space="preserve">Australian Institute of Health and Welfare Act 1987</w:t>
              </w:r>
            </w:hyperlink>
            <w:r>
              <w:rPr>
                <w:rStyle w:val="row-content-rich-text"/>
              </w:rPr>
              <w:t xml:space="preserve">, in conjunction with compliance to the </w:t>
            </w:r>
            <w:hyperlink w:history="true" r:id="Rd18a486635814537">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314202cb7204667">
              <w:r>
                <w:rPr>
                  <w:rStyle w:val="Hyperlink"/>
                </w:rPr>
                <w:t xml:space="preserve">www.aihw.gov.au</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13ff1a9260a54101">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in accordance with the to Community Mental Health Care NMDS (METeOR ID </w:t>
            </w:r>
            <w:hyperlink w:history="true" r:id="R3de22d4f7336422e">
              <w:r>
                <w:rPr>
                  <w:rStyle w:val="Hyperlink"/>
                </w:rPr>
                <w:t xml:space="preserve">608534</w:t>
              </w:r>
            </w:hyperlink>
            <w:r>
              <w:rPr>
                <w:rStyle w:val="row-content-rich-text"/>
              </w:rPr>
              <w:t xml:space="preserve">), Residential Mental Health Care NMDS (METeOR ID </w:t>
            </w:r>
            <w:hyperlink w:history="true" r:id="R8e9a3217ff1b4b3b">
              <w:r>
                <w:rPr>
                  <w:rStyle w:val="Hyperlink"/>
                </w:rPr>
                <w:t xml:space="preserve">608539</w:t>
              </w:r>
            </w:hyperlink>
            <w:r>
              <w:rPr>
                <w:rStyle w:val="row-content-rich-text"/>
              </w:rPr>
              <w:t xml:space="preserve">), Admitted patient NMDS (METeOR ID </w:t>
            </w:r>
            <w:hyperlink w:history="true" r:id="R09279d4679e544be">
              <w:r>
                <w:rPr>
                  <w:rStyle w:val="Hyperlink"/>
                </w:rPr>
                <w:t xml:space="preserve">612171</w:t>
              </w:r>
            </w:hyperlink>
            <w:r>
              <w:rPr>
                <w:rStyle w:val="row-content-rich-text"/>
              </w:rPr>
              <w:t xml:space="preserve">) and Mental Health National Outcomes and Casemix Collection (see </w:t>
            </w:r>
            <w:hyperlink w:history="true" r:id="R2787b84d01c04ddf">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2016–17, that is, services that were operational between 1 July 2016 and 30 June 2017, or part there of. Data for the 2016–17 reference period were supplied to the AIHW at the beginning of May 2018.</w:t>
            </w:r>
          </w:p>
          <w:p>
            <w:pPr/>
            <w:r>
              <w:rPr>
                <w:rStyle w:val="row-content-rich-text"/>
              </w:rPr>
              <w:t xml:space="preserve">The AIHW publishes data from the NMHED in its online product </w:t>
            </w:r>
            <w:hyperlink w:history="true" r:id="R4abc269888934885">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e5ad7c5c31fc4a6c">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be59b9e1071143db">
              <w:r>
                <w:rPr>
                  <w:rStyle w:val="Hyperlink"/>
                </w:rPr>
                <w:t xml:space="preserve">http://meteor.aihw.gov.au</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NMHED is to collection national data to provide a system-wide view of all specialised mental health services, managed or funded by state or territory health authorities.</w:t>
            </w:r>
          </w:p>
          <w:p>
            <w:pPr>
              <w:spacing w:after="160"/>
            </w:pPr>
            <w:r>
              <w:rPr>
                <w:rStyle w:val="row-content-rich-text"/>
              </w:rPr>
              <w:t xml:space="preserve">Specialised psychiatric care (and associated costs) provided to patients admitted to wards/units that are not specialised public mental health inpatient units is not in scope.</w:t>
            </w:r>
          </w:p>
          <w:p>
            <w:pPr/>
            <w:r>
              <w:rPr>
                <w:rStyle w:val="row-content-rich-text"/>
              </w:rPr>
              <w:t xml:space="preserve">Coverage of specialised mental health services, managed or funded by state and territory health authroities, is considered complete by states and territories, subject to any specific caveats in the Coherence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The AIHW undertake extensive validation after files are submitted for review. Validation is conducted in two stages: (1) The compliance stage is managed by the AIHW and is concerned with ensuring that the file is structurally compliant. (2) The data validation stage is managed by the AIHW and is primarily concerned with identifying and explaining or fixing inconsistent, anomalous, and exceptional issues, including invalid values, missing data and historical inconsistency.</w:t>
            </w:r>
          </w:p>
          <w:p>
            <w:pPr>
              <w:spacing w:after="160"/>
            </w:pPr>
            <w:r>
              <w:rPr>
                <w:rStyle w:val="row-content-rich-text"/>
              </w:rPr>
              <w:t xml:space="preserve">Although there are national standards for the reporting of mental health services data, differences in financial accounting, counting and classification practices may affect the comparability of these data.</w:t>
            </w:r>
          </w:p>
          <w:p>
            <w:pPr/>
            <w:r>
              <w:rPr>
                <w:rStyle w:val="row-content-rich-text"/>
              </w:rPr>
              <w:t xml:space="preserve">Data are subject to ongoing historical validation. Due to this ongoing validation, published 2005–06 to 2015–16 data could differ from previously published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2016–17. Data should be consistent across most jurisdictions and across years within most jurisdictions, with the following exceptions.</w:t>
            </w:r>
          </w:p>
          <w:p>
            <w:pPr>
              <w:spacing w:after="160"/>
            </w:pPr>
            <w:r>
              <w:rPr>
                <w:rStyle w:val="row-content-rich-text"/>
                <w:i/>
              </w:rPr>
              <w:t xml:space="preserve">Youth beds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b818a93fb87b4023">
              <w:r>
                <w:rPr>
                  <w:rStyle w:val="Hyperlink"/>
                </w:rPr>
                <w:t xml:space="preserve">target population</w:t>
              </w:r>
            </w:hyperlink>
            <w:r>
              <w:rPr>
                <w:rStyle w:val="row-content-rich-text"/>
              </w:rPr>
              <w:t xml:space="preserve"> and </w:t>
            </w:r>
            <w:hyperlink w:history="true" r:id="Rb6f8bbf2f3bd4821">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in accordance with the MHE NMDS rather than the characteristics of their patient populations. For a service to be classified as providing a Child and adolescent, Youth,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NSW and Victoria), may not be comparable to the average cost in a jurisdiction that has General services only (for example, NT).</w:t>
            </w:r>
          </w:p>
          <w:p>
            <w:pPr>
              <w:spacing w:after="160"/>
            </w:pPr>
            <w:r>
              <w:rPr>
                <w:rStyle w:val="row-content-rich-text"/>
                <w:i/>
              </w:rPr>
              <w:t xml:space="preserve">Full-time-equivalent (FTE)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9627e37c6107478d">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have resulted in an observed decreased FTE in the other service setting categories for some jurisdictions, and may not have been consistently applied both within and between jurisdictions.</w:t>
            </w:r>
          </w:p>
          <w:p>
            <w:pPr>
              <w:spacing w:after="160"/>
            </w:pPr>
            <w:r>
              <w:rPr>
                <w:rStyle w:val="row-content-rich-text"/>
                <w:i/>
              </w:rPr>
              <w:t xml:space="preserve">New South Wales </w:t>
            </w:r>
          </w:p>
          <w:p>
            <w:pPr>
              <w:spacing w:after="160"/>
            </w:pPr>
            <w:r>
              <w:rPr>
                <w:rStyle w:val="row-content-rich-text"/>
              </w:rPr>
              <w:t xml:space="preserve">For NSW, Confused and Dementia Elderly (CADE) residential mental health services were reclassified as admitted patient hospital services from 1 July 2007. All data relating to these services have been reclassified from 2007–08 onwards, including expenditure. Long term analysis of admitted and residential services must take this change into consideration.</w:t>
            </w:r>
          </w:p>
          <w:p>
            <w:pPr>
              <w:spacing w:after="160"/>
            </w:pPr>
            <w:r>
              <w:rPr>
                <w:rStyle w:val="row-content-rich-text"/>
              </w:rPr>
              <w:t xml:space="preserve">Housing and Accommodation Support Initiative (HASI) services provided in New South Wales are considered out-of-scope as residential services according to the Mental Health Establishments NMDS.</w:t>
            </w:r>
          </w:p>
          <w:p>
            <w:pPr>
              <w:spacing w:after="160"/>
            </w:pPr>
            <w:r>
              <w:rPr>
                <w:rStyle w:val="row-content-rich-text"/>
              </w:rPr>
              <w:t xml:space="preserve">The quality of the NSW 2010–11 MHE NMDS was affected by the reconfiguration of 10 Area Health Services into 18 Local Health Districts mid the 2010–11 financial year. Data quality issues were limited to the 2010–11 dataset.</w:t>
            </w:r>
          </w:p>
          <w:p>
            <w:pPr>
              <w:spacing w:after="160"/>
            </w:pPr>
            <w:r>
              <w:rPr>
                <w:rStyle w:val="row-content-rich-text"/>
              </w:rPr>
              <w:t xml:space="preserve">In 2013–14, NSW restructured all Hospital, Cluster and Organisation entities resulting in a decrease in the reported number of organisations.</w:t>
            </w:r>
          </w:p>
          <w:p>
            <w:pPr>
              <w:spacing w:after="160"/>
            </w:pPr>
            <w:r>
              <w:rPr>
                <w:rStyle w:val="row-content-rich-text"/>
                <w:i/>
              </w:rPr>
              <w:t xml:space="preserve">Victoria</w:t>
            </w:r>
          </w:p>
          <w:p>
            <w:pPr>
              <w:spacing w:after="160"/>
            </w:pPr>
            <w:r>
              <w:rPr>
                <w:rStyle w:val="row-content-rich-text"/>
              </w:rPr>
              <w:t xml:space="preserve">For Victoria, 70% of the expenditure reported by Prevention and Recovery Care (PARC) units has been deemed to be Non-Government Organisation expenditure, contrasting with data presented in the Facilities section, where beds, mental health care days, etc. are shown as government operated services.</w:t>
            </w:r>
          </w:p>
          <w:p>
            <w:pPr>
              <w:spacing w:after="160"/>
            </w:pPr>
            <w:r>
              <w:rPr>
                <w:rStyle w:val="row-content-rich-text"/>
              </w:rPr>
              <w:t xml:space="preserve">Data for one hospital service was unavailable for the 2015–16 collection period.</w:t>
            </w:r>
          </w:p>
          <w:p>
            <w:pPr>
              <w:spacing w:after="160"/>
            </w:pPr>
            <w:r>
              <w:rPr>
                <w:rStyle w:val="row-content-rich-text"/>
              </w:rPr>
              <w:t xml:space="preserve">A restructure at the region level occurred during 2016–17, so comparisons over time should be made with caution. Several services opened and closed during the reporting period.</w:t>
            </w:r>
          </w:p>
          <w:p>
            <w:pPr>
              <w:spacing w:after="160"/>
            </w:pPr>
            <w:r>
              <w:rPr>
                <w:rStyle w:val="row-content-rich-text"/>
              </w:rPr>
              <w:t xml:space="preserve">A review of admitted patient services resulted in the reclassification of beds between the acute and non-acute categories for the 2016–17 collection, in line with MeTEOR changes.</w:t>
            </w:r>
          </w:p>
          <w:p>
            <w:pPr>
              <w:spacing w:after="160"/>
            </w:pPr>
            <w:r>
              <w:rPr>
                <w:rStyle w:val="row-content-rich-text"/>
                <w:i/>
              </w:rPr>
              <w:t xml:space="preserve">Queensland</w:t>
            </w:r>
          </w:p>
          <w:p>
            <w:pPr>
              <w:spacing w:after="160"/>
            </w:pPr>
            <w:r>
              <w:rPr>
                <w:rStyle w:val="row-content-rich-text"/>
              </w:rPr>
              <w:t xml:space="preserve">Long term analysis of admitted and residential services in Qld must take the following reporting changes into consideration:</w:t>
            </w:r>
          </w:p>
          <w:p>
            <w:pPr>
              <w:pStyle w:val="ListParagraph"/>
              <w:numPr>
                <w:ilvl w:val="0"/>
                <w:numId w:val="3"/>
              </w:numPr>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w:t>
            </w:r>
            <w:r>
              <w:rPr>
                <w:rStyle w:val="row-content-rich-text"/>
              </w:rPr>
              <w:t xml:space="preserve">  </w:t>
            </w:r>
            <w:r>
              <w:rPr>
                <w:rStyle w:val="row-content-rich-text"/>
              </w:rPr>
              <w:t xml:space="preserve">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w:t>
            </w:r>
          </w:p>
          <w:p>
            <w:pPr>
              <w:pStyle w:val="ListParagraph"/>
              <w:numPr>
                <w:ilvl w:val="0"/>
                <w:numId w:val="3"/>
              </w:numPr>
            </w:pPr>
            <w:r>
              <w:rPr>
                <w:rStyle w:val="row-content-rich-text"/>
              </w:rPr>
              <w:t xml:space="preserve">A number of services previously classified as forensic were reclassified as general services in 2009–10 to more accurately reflect the function of these services.</w:t>
            </w:r>
          </w:p>
          <w:p>
            <w:pPr>
              <w:spacing w:after="160"/>
            </w:pPr>
            <w:r>
              <w:rPr>
                <w:rStyle w:val="row-content-rich-text"/>
              </w:rPr>
              <w:t xml:space="preserve">FTE data for a small number of Youth hospital services have been reported in the General category at the request of Queensland.</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units, which limits comparability with jurisdictions that report these services differently. Queensland does not report any Forensic services; however, forensic patients can and do access acute care through General units.</w:t>
            </w:r>
          </w:p>
          <w:p>
            <w:pPr>
              <w:spacing w:after="160"/>
            </w:pPr>
            <w:r>
              <w:rPr>
                <w:rStyle w:val="row-content-rich-text"/>
              </w:rPr>
              <w:t xml:space="preserve">Queensland implemented a new methodology to calculate FTE for the 2009–10 collection period, resulting in a reduction in reported FTE. Changes in reporting practises in Queensland may have resulted in a decrease in Consumer workers FTE in 2012–13. Consideration of these issues change should be made when conducting time series analysis.</w:t>
            </w:r>
          </w:p>
          <w:p>
            <w:pPr>
              <w:spacing w:after="160"/>
            </w:pPr>
            <w:r>
              <w:rPr>
                <w:rStyle w:val="row-content-rich-text"/>
              </w:rPr>
              <w:t xml:space="preserve">In 2016–17, Queensland noted the increase in indirect expenditure, particularly superannuation costs. Queensland stated that these indirect expenditure costs more accurately reflect the state-wide indirect expenditure than previous years. Queensland stated that the increase in Organisational Overhead FTE in 2016–17 more accurately reflects the staffing profile than previous collection years.</w:t>
            </w:r>
          </w:p>
          <w:p>
            <w:pPr>
              <w:spacing w:after="160"/>
            </w:pPr>
            <w:r>
              <w:rPr>
                <w:rStyle w:val="row-content-rich-text"/>
                <w:i/>
              </w:rPr>
              <w:t xml:space="preserve">Western Australia </w:t>
            </w:r>
          </w:p>
          <w:p>
            <w:pPr>
              <w:spacing w:after="160"/>
            </w:pPr>
            <w:r>
              <w:rPr>
                <w:rStyle w:val="row-content-rich-text"/>
              </w:rPr>
              <w:t xml:space="preserve">For WA data, a review of services resulted in the reclassification of beds between the acute and non-acute categories for the 2010–11 collection, to more accurately reflect the function of these services. Several residential services reported as 24-hour staffed services in 2009–10 transitioned to a non-24-hour staffed model of care as of 1 July 2010. Long term analysis of admitted services must take these changes into consideration.</w:t>
            </w:r>
          </w:p>
          <w:p>
            <w:pPr>
              <w:spacing w:after="160"/>
            </w:pPr>
            <w:r>
              <w:rPr>
                <w:rStyle w:val="row-content-rich-text"/>
              </w:rPr>
              <w:t xml:space="preserve">In 2015–16 and 2016–17, FTE staff data was unavailable for one service. Direct care FTE staff for the service are estimated to be around 70 FTE in 2015–16 and 120 FTE for 2016–17. Time series staffing figures will be impacted. Also, comparisons between staffing and expenditure should be made with caution.</w:t>
            </w:r>
          </w:p>
          <w:p>
            <w:pPr>
              <w:spacing w:after="160"/>
            </w:pPr>
            <w:r>
              <w:rPr>
                <w:rStyle w:val="row-content-rich-text"/>
                <w:i/>
              </w:rPr>
              <w:t xml:space="preserve">Tasmania </w:t>
            </w:r>
          </w:p>
          <w:p>
            <w:pPr>
              <w:spacing w:after="160"/>
            </w:pPr>
            <w:r>
              <w:rPr>
                <w:rStyle w:val="row-content-rich-text"/>
              </w:rPr>
              <w:t xml:space="preserve">In 2014–15 Tasmania reclassified 27 non-acute admitted beds to residential beds, reflecting a change in function of the unit. Long term analysis of admitted and residential services must take this change into consideration.</w:t>
            </w:r>
          </w:p>
          <w:p>
            <w:pPr>
              <w:spacing w:after="160"/>
            </w:pPr>
            <w:r>
              <w:rPr>
                <w:rStyle w:val="row-content-rich-text"/>
              </w:rPr>
              <w:t xml:space="preserve">In 2016–17, Tasmania noted a small reduction in ambulatory service contacts due a decrease in the number of recorded contacts for one organisation.</w:t>
            </w:r>
          </w:p>
          <w:p>
            <w:pPr>
              <w:spacing w:after="160"/>
            </w:pPr>
            <w:r>
              <w:rPr>
                <w:rStyle w:val="row-content-rich-text"/>
                <w:i/>
              </w:rPr>
              <w:t xml:space="preserve">Australian Capital Territory</w:t>
            </w:r>
          </w:p>
          <w:p>
            <w:pPr>
              <w:spacing w:after="160"/>
            </w:pPr>
            <w:r>
              <w:rPr>
                <w:rStyle w:val="row-content-rich-text"/>
              </w:rPr>
              <w:t xml:space="preserve">In 2016–17, ACT advised that a number of non-24 hour residential services are now funded under the National Disability Insurance Scheme (NDIS), which ACT now consider out-of-scope for reporting to the Mental Health Establishments NMDS. This has resulted in a significant reduction in non-24 hours staffed residential beds (from 45 to 5), and small decreases in patient days and residential FTE. Therefore, time-series comparisons and comparisons between jurisdictions should be made with caution.</w:t>
            </w:r>
          </w:p>
          <w:p>
            <w:pPr>
              <w:spacing w:after="160"/>
            </w:pPr>
            <w:r>
              <w:rPr>
                <w:rStyle w:val="row-content-rich-text"/>
              </w:rPr>
              <w:t xml:space="preserve">A new forensic service unit opened part way through 2016–17. As this was a new service unit, low occupancy and high costs has resulted in an increased patient day cost for forensic services in the ACT.</w:t>
            </w:r>
          </w:p>
          <w:p>
            <w:pPr>
              <w:spacing w:after="160"/>
            </w:pPr>
            <w:r>
              <w:rPr>
                <w:rStyle w:val="row-content-rich-text"/>
              </w:rPr>
              <w:t xml:space="preserve">Following a system-wide data review in 2018, ACT Health is continuing to improve its data quality.</w:t>
            </w:r>
          </w:p>
          <w:p>
            <w:pPr>
              <w:spacing w:after="160"/>
            </w:pPr>
            <w:r>
              <w:rPr>
                <w:rStyle w:val="row-content-rich-text"/>
                <w:i/>
              </w:rPr>
              <w:t xml:space="preserve">Northern Territory</w:t>
            </w:r>
          </w:p>
          <w:p>
            <w:pPr>
              <w:spacing w:after="160"/>
            </w:pPr>
            <w:r>
              <w:rPr>
                <w:rStyle w:val="row-content-rich-text"/>
              </w:rPr>
              <w:t xml:space="preserve">In 2016–17, services within the Northern Territory were assessed under service accreditation standards which do not include certification for National standards for mental health services. Caution should be exercised when conducting time series analyses.</w:t>
            </w:r>
          </w:p>
          <w:p>
            <w:pPr/>
            <w:r>
              <w:rPr>
                <w:rStyle w:val="row-content-rich-text"/>
              </w:rPr>
              <w:t xml:space="preserve">Domestic staffing FTE figures are routinely unavailable for the 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9a54dd0322495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8cb17c5a8a407a">
              <w:r>
                <w:rPr>
                  <w:rStyle w:val="Hyperlink"/>
                </w:rPr>
                <w:t xml:space="preserve">Mental Health Establishments NMDS 2015–16: National Mental Health Establishments Database, 2018; Quality Statement</w:t>
              </w:r>
            </w:hyperlink>
          </w:p>
          <w:p>
            <w:pPr>
              <w:spacing w:before="0" w:after="0"/>
            </w:pPr>
            <w:r>
              <w:rPr>
                <w:rStyle w:val="row-content"/>
                <w:color w:val="244061"/>
              </w:rPr>
              <w:t xml:space="preserve">       </w:t>
            </w:r>
            <w:hyperlink w:history="true" r:id="R96fd1f354cea4a18">
              <w:r>
                <w:rPr>
                  <w:rStyle w:val="Hyperlink"/>
                  <w:color w:val="244061"/>
                </w:rPr>
                <w:t xml:space="preserve">AIHW Data Quality Statements</w:t>
              </w:r>
            </w:hyperlink>
            <w:r>
              <w:rPr>
                <w:rStyle w:val="row-content"/>
                <w:color w:val="244061"/>
              </w:rPr>
              <w:t xml:space="preserve">, Superseded 21/03/2019</w:t>
            </w:r>
          </w:p>
          <w:p>
            <w:r>
              <w:br/>
            </w:r>
            <w:r>
              <w:rPr>
                <w:rStyle w:val="row-content"/>
              </w:rPr>
              <w:t xml:space="preserve">Has been superseded by </w:t>
            </w:r>
            <w:hyperlink w:history="true" r:id="Ra1e86232d0104f62">
              <w:r>
                <w:rPr>
                  <w:rStyle w:val="Hyperlink"/>
                </w:rPr>
                <w:t xml:space="preserve">Mental Health Establishments NMDS 2017–18: National Mental Health Establishments Database, 2020; Quality Statement</w:t>
              </w:r>
            </w:hyperlink>
          </w:p>
          <w:p>
            <w:pPr>
              <w:spacing w:before="0" w:after="0"/>
            </w:pPr>
            <w:r>
              <w:rPr>
                <w:rStyle w:val="row-content"/>
                <w:color w:val="244061"/>
              </w:rPr>
              <w:t xml:space="preserve">       </w:t>
            </w:r>
            <w:hyperlink w:history="true" r:id="Rdaf4143a758d43f1">
              <w:r>
                <w:rPr>
                  <w:rStyle w:val="Hyperlink"/>
                  <w:color w:val="244061"/>
                </w:rPr>
                <w:t xml:space="preserve">AIHW Data Quality Statements</w:t>
              </w:r>
            </w:hyperlink>
            <w:r>
              <w:rPr>
                <w:rStyle w:val="row-content"/>
                <w:color w:val="244061"/>
              </w:rPr>
              <w:t xml:space="preserve">, Standard 30/01/2020</w:t>
            </w:r>
          </w:p>
          <w:p>
            <w:r>
              <w:br/>
            </w:r>
            <w:r>
              <w:rPr>
                <w:rStyle w:val="row-content"/>
              </w:rPr>
              <w:t xml:space="preserve">See also </w:t>
            </w:r>
            <w:hyperlink w:history="true" r:id="R75dc8fe818174d31">
              <w:r>
                <w:rPr>
                  <w:rStyle w:val="Hyperlink"/>
                </w:rPr>
                <w:t xml:space="preserve">Mental health establishments NMDS 2016-17</w:t>
              </w:r>
            </w:hyperlink>
          </w:p>
          <w:p>
            <w:pPr>
              <w:spacing w:before="0" w:after="0"/>
            </w:pPr>
            <w:r>
              <w:rPr>
                <w:rStyle w:val="row-content"/>
                <w:color w:val="244061"/>
              </w:rPr>
              <w:t xml:space="preserve">       </w:t>
            </w:r>
            <w:hyperlink w:history="true" r:id="R20107f5690824e78">
              <w:r>
                <w:rPr>
                  <w:rStyle w:val="Hyperlink"/>
                  <w:color w:val="244061"/>
                </w:rPr>
                <w:t xml:space="preserve">Health</w:t>
              </w:r>
            </w:hyperlink>
            <w:r>
              <w:rPr>
                <w:rStyle w:val="row-content"/>
                <w:color w:val="244061"/>
              </w:rPr>
              <w:t xml:space="preserve">, Superseded 17/08/2017</w:t>
            </w:r>
          </w:p>
          <w:p>
            <w:r>
              <w:br/>
            </w:r>
          </w:p>
        </w:tc>
      </w:tr>
    </w:tbl>
    <w:p>
      <w:r>
        <w:br/>
      </w:r>
    </w:p>
    <w:sectPr>
      <w:footerReference xmlns:r="http://schemas.openxmlformats.org/officeDocument/2006/relationships" w:type="default" r:id="R2ed133d815fc46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706801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914a9dde124a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133d815fc4651" /><Relationship Type="http://schemas.openxmlformats.org/officeDocument/2006/relationships/header" Target="/word/header1.xml" Id="R5261591f34b24074" /><Relationship Type="http://schemas.openxmlformats.org/officeDocument/2006/relationships/settings" Target="/word/settings.xml" Id="R98ff3c5460994687" /><Relationship Type="http://schemas.openxmlformats.org/officeDocument/2006/relationships/styles" Target="/word/styles.xml" Id="Rb71ea0bb22f54aa1" /><Relationship Type="http://schemas.openxmlformats.org/officeDocument/2006/relationships/hyperlink" Target="https://meteor.aihw.gov.au/RegistrationAuthority/5" TargetMode="External" Id="R3172be09fcb34b82" /><Relationship Type="http://schemas.openxmlformats.org/officeDocument/2006/relationships/numbering" Target="/word/numbering.xml" Id="R64529ffb8d74401f" /><Relationship Type="http://schemas.openxmlformats.org/officeDocument/2006/relationships/hyperlink" Target="https://meteor.aihw.gov.au/content/605829" TargetMode="External" Id="Rc38e932e69004135" /><Relationship Type="http://schemas.openxmlformats.org/officeDocument/2006/relationships/hyperlink" Target="https://www.legislation.gov.au/Series/C2004A03450" TargetMode="External" Id="Ra1c9fae3e385418e" /><Relationship Type="http://schemas.openxmlformats.org/officeDocument/2006/relationships/hyperlink" Target="https://www.legislation.gov.au/Series/C2004A03450" TargetMode="External" Id="Rf54dc20c614743a8" /><Relationship Type="http://schemas.openxmlformats.org/officeDocument/2006/relationships/hyperlink" Target="https://www.legislation.gov.au/Series/C2004A03712" TargetMode="External" Id="Rd18a486635814537" /><Relationship Type="http://schemas.openxmlformats.org/officeDocument/2006/relationships/hyperlink" Target="http://www.aihw.gov.au/" TargetMode="External" Id="R2314202cb7204667" /><Relationship Type="http://schemas.openxmlformats.org/officeDocument/2006/relationships/hyperlink" Target="https://meteor.aihw.gov.au/content/182135" TargetMode="External" Id="R13ff1a9260a54101" /><Relationship Type="http://schemas.openxmlformats.org/officeDocument/2006/relationships/hyperlink" Target="https://meteor.aihw.gov.au/content/608534" TargetMode="External" Id="R3de22d4f7336422e" /><Relationship Type="http://schemas.openxmlformats.org/officeDocument/2006/relationships/hyperlink" Target="https://meteor.aihw.gov.au/content/608539" TargetMode="External" Id="R8e9a3217ff1b4b3b" /><Relationship Type="http://schemas.openxmlformats.org/officeDocument/2006/relationships/hyperlink" Target="https://meteor.aihw.gov.au/content/612171" TargetMode="External" Id="R09279d4679e544be" /><Relationship Type="http://schemas.openxmlformats.org/officeDocument/2006/relationships/hyperlink" Target="http://amhocn.org/home/useful-resources/national-outcomes-and-casemix-collection-nocc" TargetMode="External" Id="R2787b84d01c04ddf" /><Relationship Type="http://schemas.openxmlformats.org/officeDocument/2006/relationships/hyperlink" Target="https://www.aihw.gov.au/mhsa" TargetMode="External" Id="R4abc269888934885" /><Relationship Type="http://schemas.openxmlformats.org/officeDocument/2006/relationships/hyperlink" Target="https://www.aihw.gov.au/mhsa" TargetMode="External" Id="Re5ad7c5c31fc4a6c" /><Relationship Type="http://schemas.openxmlformats.org/officeDocument/2006/relationships/hyperlink" Target="https://meteor.aihw.gov.au/content/181162" TargetMode="External" Id="Rbe59b9e1071143db" /><Relationship Type="http://schemas.openxmlformats.org/officeDocument/2006/relationships/hyperlink" Target="https://meteor.aihw.gov.au/content/493010" TargetMode="External" Id="Rb818a93fb87b4023" /><Relationship Type="http://schemas.openxmlformats.org/officeDocument/2006/relationships/hyperlink" Target="https://meteor.aihw.gov.au/content/288889" TargetMode="External" Id="Rb6f8bbf2f3bd4821" /><Relationship Type="http://schemas.openxmlformats.org/officeDocument/2006/relationships/hyperlink" Target="https://meteor.aihw.gov.au/content/493347" TargetMode="External" Id="R9627e37c6107478d" /><Relationship Type="http://schemas.openxmlformats.org/officeDocument/2006/relationships/hyperlink" Target="https://meteor.aihw.gov.au/content/246013" TargetMode="External" Id="R039a54dd0322495c" /><Relationship Type="http://schemas.openxmlformats.org/officeDocument/2006/relationships/hyperlink" Target="https://meteor.aihw.gov.au/content/680148" TargetMode="External" Id="R5a8cb17c5a8a407a" /><Relationship Type="http://schemas.openxmlformats.org/officeDocument/2006/relationships/hyperlink" Target="https://meteor.aihw.gov.au/RegistrationAuthority/5" TargetMode="External" Id="R96fd1f354cea4a18" /><Relationship Type="http://schemas.openxmlformats.org/officeDocument/2006/relationships/hyperlink" Target="https://meteor.aihw.gov.au/content/726039" TargetMode="External" Id="Ra1e86232d0104f62" /><Relationship Type="http://schemas.openxmlformats.org/officeDocument/2006/relationships/hyperlink" Target="https://meteor.aihw.gov.au/RegistrationAuthority/5" TargetMode="External" Id="Rdaf4143a758d43f1" /><Relationship Type="http://schemas.openxmlformats.org/officeDocument/2006/relationships/hyperlink" Target="https://meteor.aihw.gov.au/content/605829" TargetMode="External" Id="R75dc8fe818174d31" /><Relationship Type="http://schemas.openxmlformats.org/officeDocument/2006/relationships/hyperlink" Target="https://meteor.aihw.gov.au/RegistrationAuthority/12" TargetMode="External" Id="R20107f5690824e78" /></Relationships>
</file>

<file path=word/_rels/header1.xml.rels>&#65279;<?xml version="1.0" encoding="utf-8"?><Relationships xmlns="http://schemas.openxmlformats.org/package/2006/relationships"><Relationship Type="http://schemas.openxmlformats.org/officeDocument/2006/relationships/image" Target="/media/image.png" Id="R8b914a9dde124a0a" /></Relationships>
</file>