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803aef2e84ac8"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service provider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service provider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non-admitted patient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f62ef251d4d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n allied health professional, assistant or student providing an allied health service." w:history="true" r:id="R43b44e9563b84730">
              <w:r>
                <w:rPr>
                  <w:rStyle w:val="Hyperlink"/>
                  <w:b/>
                </w:rPr>
                <w:t xml:space="preserve">allied health service provider</w:t>
              </w:r>
            </w:hyperlink>
            <w:r>
              <w:rPr>
                <w:rStyle w:val="row-content-rich-text"/>
              </w:rPr>
              <w:t xml:space="preserve"> is located to deliver an allied health service to a non-admitted patient during an </w:t>
            </w:r>
            <w:hyperlink w:tooltip="A specific, time defined encounter between a person (with a known patient identifier) and an allied health professional, assistant or student." w:history="true" r:id="R224882c0ee6f48b1">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636631be64560">
              <w:r>
                <w:rPr>
                  <w:rStyle w:val="Hyperlink"/>
                </w:rPr>
                <w:t xml:space="preserve">Allied health service event—non-admitted patient service provider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8378de27fc431d">
              <w:r>
                <w:rPr>
                  <w:rStyle w:val="Hyperlink"/>
                </w:rPr>
                <w:t xml:space="preserve">Non-admitted patient service provider setting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Person’s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Education provider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Person’s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Hospital</w:t>
            </w:r>
          </w:p>
          <w:p>
            <w:pPr>
              <w:spacing w:after="160"/>
            </w:pPr>
            <w:r>
              <w:rPr>
                <w:rStyle w:val="row-content-rich-text"/>
              </w:rPr>
              <w:t xml:space="preserve">A 'hospital'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territory,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10  Person's home</w:t>
            </w:r>
          </w:p>
          <w:p>
            <w:pPr>
              <w:spacing w:after="160"/>
            </w:pPr>
            <w:r>
              <w:rPr>
                <w:rStyle w:val="row-content-rich-text"/>
              </w:rPr>
              <w:t xml:space="preserve">‘Person’s home' includes domiciliary nursing services.</w:t>
            </w:r>
          </w:p>
          <w:p>
            <w:pPr>
              <w:spacing w:after="160"/>
            </w:pPr>
            <w:r>
              <w:rPr>
                <w:rStyle w:val="row-content-rich-text"/>
              </w:rPr>
              <w:t xml:space="preserve">CODE 11 Education provider premises</w:t>
            </w:r>
          </w:p>
          <w:p>
            <w:pPr>
              <w:spacing w:after="160"/>
            </w:pPr>
            <w:r>
              <w:rPr>
                <w:rStyle w:val="row-content-rich-text"/>
              </w:rPr>
              <w:t xml:space="preserve">‘Education provider premises’ may include a pre-school, school, college or higher education provider premises</w:t>
            </w:r>
          </w:p>
          <w:p>
            <w:pPr>
              <w:spacing w:after="160"/>
            </w:pPr>
            <w:r>
              <w:rPr>
                <w:rStyle w:val="row-content-rich-text"/>
              </w:rPr>
              <w:t xml:space="preserve">CODE 12 Person’s workplace</w:t>
            </w:r>
          </w:p>
          <w:p>
            <w:pPr>
              <w:spacing w:after="160"/>
            </w:pPr>
            <w:r>
              <w:rPr>
                <w:rStyle w:val="row-content-rich-text"/>
              </w:rPr>
              <w:t xml:space="preserve">The physical location where work is carried out for a business or undertaking and includes any place where a worker goes, or is likely to be, while at work.</w:t>
            </w:r>
          </w:p>
          <w:p>
            <w:pPr>
              <w:spacing w:after="160"/>
            </w:pPr>
            <w:r>
              <w:rPr>
                <w:rStyle w:val="row-content-rich-text"/>
              </w:rPr>
              <w:t xml:space="preserve">CODE 80 Other</w:t>
            </w:r>
          </w:p>
          <w:p>
            <w:pPr/>
            <w:r>
              <w:rPr>
                <w:rStyle w:val="row-content-rich-text"/>
              </w:rPr>
              <w:t xml:space="preserve">'Other' covers services in settings other than those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recorded is the setting where the </w:t>
            </w:r>
            <w:hyperlink w:tooltip="An allied health professional, assistant or student providing an allied health service." w:history="true" r:id="Raeb72c52fdbb42e7">
              <w:r>
                <w:rPr>
                  <w:rStyle w:val="Hyperlink"/>
                  <w:b/>
                </w:rPr>
                <w:t xml:space="preserve">allied health service provider</w:t>
              </w:r>
            </w:hyperlink>
            <w:r>
              <w:rPr>
                <w:rStyle w:val="row-content-rich-text"/>
              </w:rPr>
              <w:t xml:space="preserve"> is located to deliver the </w:t>
            </w:r>
            <w:hyperlink w:tooltip="A specific, time defined encounter between a person (with a known patient identifier) and an allied health professional, assistant or student." w:history="true" r:id="R8dbb773b53cc40f2">
              <w:r>
                <w:rPr>
                  <w:rStyle w:val="Hyperlink"/>
                  <w:b/>
                </w:rPr>
                <w:t xml:space="preserve">allied health service event</w:t>
              </w:r>
            </w:hyperlink>
            <w:r>
              <w:rPr>
                <w:rStyle w:val="row-content-rich-text"/>
              </w:rPr>
              <w:t xml:space="preserve">.</w:t>
            </w:r>
          </w:p>
          <w:p>
            <w:pPr>
              <w:spacing w:after="160"/>
            </w:pPr>
            <w:r>
              <w:rPr>
                <w:rStyle w:val="row-content-rich-text"/>
              </w:rPr>
              <w:t xml:space="preserve">For example, if the mode of delivery of the </w:t>
            </w:r>
            <w:hyperlink w:tooltip="A specific, time defined encounter between a person (with a known patient identifier) and an allied health professional, assistant or student." w:history="true" r:id="R601a8cc1c7e8416a">
              <w:r>
                <w:rPr>
                  <w:rStyle w:val="Hyperlink"/>
                  <w:b/>
                </w:rPr>
                <w:t xml:space="preserve">allied health service event</w:t>
              </w:r>
            </w:hyperlink>
            <w:r>
              <w:rPr>
                <w:rStyle w:val="row-content-rich-text"/>
              </w:rPr>
              <w:t xml:space="preserve"> is via telephone communication, the setting would be the location of the allied health service provider.</w:t>
            </w:r>
          </w:p>
          <w:p>
            <w:pPr/>
            <w:r>
              <w:rPr>
                <w:rStyle w:val="row-content-rich-text"/>
              </w:rPr>
              <w:t xml:space="preserve">An </w:t>
            </w:r>
            <w:hyperlink w:tooltip="A specific, time defined encounter between a person (with a known patient identifier) and an allied health professional, assistant or student." w:history="true" r:id="R9f51df7ae3224c05">
              <w:r>
                <w:rPr>
                  <w:rStyle w:val="Hyperlink"/>
                  <w:b/>
                </w:rPr>
                <w:t xml:space="preserve">allied health service event</w:t>
              </w:r>
            </w:hyperlink>
            <w:r>
              <w:rPr>
                <w:rStyle w:val="row-content-rich-text"/>
              </w:rPr>
              <w:t xml:space="preserve"> (non-admitted patient) service provider setting is classified as 'public' if it is operated by or on behalf of a Commonwealth, state or territory or local government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26e255c05047a7">
              <w:r>
                <w:rPr>
                  <w:rStyle w:val="Hyperlink"/>
                </w:rPr>
                <w:t xml:space="preserve">Allied health non-admitted patient NBPDS</w:t>
              </w:r>
            </w:hyperlink>
          </w:p>
          <w:p>
            <w:pPr>
              <w:spacing w:before="0" w:after="0"/>
            </w:pPr>
            <w:r>
              <w:rPr>
                <w:rStyle w:val="row-content"/>
                <w:color w:val="244061"/>
              </w:rPr>
              <w:t xml:space="preserve">       </w:t>
            </w:r>
            <w:hyperlink w:history="true" r:id="Rdc429d94bd27400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e43cd18d9ff7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103ffcfbb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cd18d9ff7494f" /><Relationship Type="http://schemas.openxmlformats.org/officeDocument/2006/relationships/header" Target="/word/header1.xml" Id="R8c36158896fe4bf0" /><Relationship Type="http://schemas.openxmlformats.org/officeDocument/2006/relationships/settings" Target="/word/settings.xml" Id="R631c756d15044e3a" /><Relationship Type="http://schemas.openxmlformats.org/officeDocument/2006/relationships/styles" Target="/word/styles.xml" Id="R59dff69bcb2d4373" /><Relationship Type="http://schemas.openxmlformats.org/officeDocument/2006/relationships/hyperlink" Target="https://meteor.aihw.gov.au/RegistrationAuthority/12" TargetMode="External" Id="R470f62ef251d4ddb" /><Relationship Type="http://schemas.openxmlformats.org/officeDocument/2006/relationships/hyperlink" Target="https://meteor.aihw.gov.au/content/705622" TargetMode="External" Id="R43b44e9563b84730" /><Relationship Type="http://schemas.openxmlformats.org/officeDocument/2006/relationships/hyperlink" Target="https://meteor.aihw.gov.au/content/705578" TargetMode="External" Id="R224882c0ee6f48b1" /><Relationship Type="http://schemas.openxmlformats.org/officeDocument/2006/relationships/hyperlink" Target="https://meteor.aihw.gov.au/content/706015" TargetMode="External" Id="R112636631be64560" /><Relationship Type="http://schemas.openxmlformats.org/officeDocument/2006/relationships/hyperlink" Target="https://meteor.aihw.gov.au/content/706010" TargetMode="External" Id="R578378de27fc431d" /><Relationship Type="http://schemas.openxmlformats.org/officeDocument/2006/relationships/hyperlink" Target="https://meteor.aihw.gov.au/content/705622" TargetMode="External" Id="Raeb72c52fdbb42e7" /><Relationship Type="http://schemas.openxmlformats.org/officeDocument/2006/relationships/hyperlink" Target="https://meteor.aihw.gov.au/content/705578" TargetMode="External" Id="R8dbb773b53cc40f2" /><Relationship Type="http://schemas.openxmlformats.org/officeDocument/2006/relationships/hyperlink" Target="https://meteor.aihw.gov.au/content/705578" TargetMode="External" Id="R601a8cc1c7e8416a" /><Relationship Type="http://schemas.openxmlformats.org/officeDocument/2006/relationships/hyperlink" Target="https://meteor.aihw.gov.au/content/705578" TargetMode="External" Id="R9f51df7ae3224c05" /><Relationship Type="http://schemas.openxmlformats.org/officeDocument/2006/relationships/hyperlink" Target="https://meteor.aihw.gov.au/content/705642" TargetMode="External" Id="R3126e255c05047a7" /><Relationship Type="http://schemas.openxmlformats.org/officeDocument/2006/relationships/hyperlink" Target="https://meteor.aihw.gov.au/RegistrationAuthority/12" TargetMode="External" Id="Rdc429d94bd274004" /></Relationships>
</file>

<file path=word/_rels/header1.xml.rels>&#65279;<?xml version="1.0" encoding="utf-8"?><Relationships xmlns="http://schemas.openxmlformats.org/package/2006/relationships"><Relationship Type="http://schemas.openxmlformats.org/officeDocument/2006/relationships/image" Target="/media/image.png" Id="Rd3f103ffcfbb4ca6" /></Relationships>
</file>