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848ac66554b67" /></Relationships>
</file>

<file path=word/document.xml><?xml version="1.0" encoding="utf-8"?>
<w:document xmlns:r="http://schemas.openxmlformats.org/officeDocument/2006/relationships" xmlns:w="http://schemas.openxmlformats.org/wordprocessingml/2006/main">
  <w:body>
    <w:p>
      <w:pPr>
        <w:pStyle w:val="Title"/>
      </w:pPr>
      <w:r>
        <w:t>Edinburgh Postnatal Depression Scale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905cc1e47451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score on the Edinburgh Postnatal Depression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87df95c330bb4a49">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84a5591d8d4bb3">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41a9784055ed497e">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1bdc3b72c514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704377</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7fc6c9d60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c3b72c51440f6" /><Relationship Type="http://schemas.openxmlformats.org/officeDocument/2006/relationships/header" Target="/word/header1.xml" Id="R24f5eaba1ee9475a" /><Relationship Type="http://schemas.openxmlformats.org/officeDocument/2006/relationships/settings" Target="/word/settings.xml" Id="Rbd6bae1d7df34ba4" /><Relationship Type="http://schemas.openxmlformats.org/officeDocument/2006/relationships/styles" Target="/word/styles.xml" Id="Rc8e5fde5477548e8" /><Relationship Type="http://schemas.openxmlformats.org/officeDocument/2006/relationships/hyperlink" Target="https://meteor.aihw.gov.au/RegistrationAuthority/12" TargetMode="External" Id="R21f905cc1e474518" /><Relationship Type="http://schemas.openxmlformats.org/officeDocument/2006/relationships/hyperlink" Target="https://www.cope.org.au/health-professionals/health-professionals-3/calculating-score-epds/" TargetMode="External" Id="R87df95c330bb4a49" /><Relationship Type="http://schemas.openxmlformats.org/officeDocument/2006/relationships/hyperlink" Target="https://meteor.aihw.gov.au/content/704384" TargetMode="External" Id="R6584a5591d8d4bb3" /><Relationship Type="http://schemas.openxmlformats.org/officeDocument/2006/relationships/hyperlink" Target="https://meteor.aihw.gov.au/RegistrationAuthority/12" TargetMode="External" Id="R41a9784055ed497e" /></Relationships>
</file>

<file path=word/_rels/header1.xml.rels>&#65279;<?xml version="1.0" encoding="utf-8"?><Relationships xmlns="http://schemas.openxmlformats.org/package/2006/relationships"><Relationship Type="http://schemas.openxmlformats.org/officeDocument/2006/relationships/image" Target="/media/image.png" Id="Rce77fc6c9d6041bb" /></Relationships>
</file>