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d903b57e8407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Post discharge community care follow up within 7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Post discharge community care follow up within 7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7 day post discharge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1170d073947a9">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separations from an acute psychiatric inpatient unit for which a community ambulatory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3edf5857564829">
              <w:r>
                <w:rPr>
                  <w:rStyle w:val="Hyperlink"/>
                </w:rPr>
                <w:t xml:space="preserve">Service Plan - Department of Health Tasmania: 2018</w:t>
              </w:r>
            </w:hyperlink>
          </w:p>
          <w:p>
            <w:pPr>
              <w:spacing w:before="0" w:after="0"/>
            </w:pPr>
            <w:r>
              <w:rPr>
                <w:rStyle w:val="row-content"/>
                <w:color w:val="244061"/>
              </w:rPr>
              <w:t xml:space="preserve">       </w:t>
            </w:r>
            <w:hyperlink w:history="true" r:id="Ra14efe50e38f420e">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Numerator: Number of overnight separations from the acute inpatient unit occurring, within the reference period, for which a community mental health service contact, in which the consumer participated, was recorded in the 7 days immediately following that separation.</w:t>
            </w:r>
          </w:p>
          <w:p>
            <w:r>
              <w:br/>
            </w:r>
            <w:r>
              <w:rPr>
                <w:rStyle w:val="row-content-rich-text"/>
              </w:rPr>
              <w:t xml:space="preserve">Denominator: Number of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occurring, within the reference period, for which a community mental health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3da3a330cbeb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397035249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3a330cbeb447a" /><Relationship Type="http://schemas.openxmlformats.org/officeDocument/2006/relationships/header" Target="/word/header1.xml" Id="R3a2568540e8e43f4" /><Relationship Type="http://schemas.openxmlformats.org/officeDocument/2006/relationships/settings" Target="/word/settings.xml" Id="R140a571807d042a6" /><Relationship Type="http://schemas.openxmlformats.org/officeDocument/2006/relationships/styles" Target="/word/styles.xml" Id="R2252c2109d964076" /><Relationship Type="http://schemas.openxmlformats.org/officeDocument/2006/relationships/hyperlink" Target="https://meteor.aihw.gov.au/RegistrationAuthority/15" TargetMode="External" Id="R7eb1170d073947a9" /><Relationship Type="http://schemas.openxmlformats.org/officeDocument/2006/relationships/hyperlink" Target="https://meteor.aihw.gov.au/content/698656" TargetMode="External" Id="R143edf5857564829" /><Relationship Type="http://schemas.openxmlformats.org/officeDocument/2006/relationships/hyperlink" Target="https://meteor.aihw.gov.au/RegistrationAuthority/15" TargetMode="External" Id="Ra14efe50e38f420e" /></Relationships>
</file>

<file path=word/_rels/header1.xml.rels>&#65279;<?xml version="1.0" encoding="utf-8"?><Relationships xmlns="http://schemas.openxmlformats.org/package/2006/relationships"><Relationship Type="http://schemas.openxmlformats.org/officeDocument/2006/relationships/image" Target="/media/image.png" Id="Rec839703524943c4" /></Relationships>
</file>