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2c245bbb014a5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10-Proportion of Indigenous children who are enrolled in (and attending, where possible to measure) a preschool program in the year before formal schooling,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10-Proportion of Indigenous children who are enrolled in (and attending, where possible to measure) a preschool program in the year before formal schooling,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10-Proportion of Indigenous children who are enrolled in (and attending, where possible to measure) a preschool program in the year before formal schooling,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7cf47b2d24724">
              <w:r>
                <w:rPr>
                  <w:rStyle w:val="Hyperlink"/>
                  <w:color w:val="244061"/>
                </w:rPr>
                <w:t xml:space="preserve">Indigenous</w:t>
              </w:r>
            </w:hyperlink>
            <w:r>
              <w:rPr>
                <w:rStyle w:val="row-content"/>
                <w:color w:val="244061"/>
              </w:rPr>
              <w:t xml:space="preserve">, Superseded 17/11/2019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w:t>
            </w:r>
          </w:p>
          <w:p>
            <w:pPr>
              <w:spacing w:after="160"/>
            </w:pPr>
            <w:r>
              <w:rPr>
                <w:rStyle w:val="row-content-rich-text"/>
              </w:rPr>
              <w:t xml:space="preserve">(a) The proportion of children enrolled in a preschool program in the year before full-time schooling.</w:t>
            </w:r>
          </w:p>
          <w:p>
            <w:pPr/>
            <w:r>
              <w:rPr>
                <w:rStyle w:val="row-content-rich-text"/>
              </w:rPr>
              <w:t xml:space="preserve">(b) The proportion of children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generally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'Ensure that 95% of all Indigenous 4 year-olds are enrolled in early childhood education by 2025'.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49431aefbc947ff">
              <w:r>
                <w:rPr>
                  <w:rStyle w:val="Hyperlink"/>
                </w:rPr>
                <w:t xml:space="preserve">National Indigenous Reform Agreement (2019)</w:t>
              </w:r>
            </w:hyperlink>
          </w:p>
          <w:p>
            <w:pPr>
              <w:spacing w:before="0" w:after="0"/>
            </w:pPr>
            <w:r>
              <w:rPr>
                <w:rStyle w:val="row-content"/>
                <w:color w:val="244061"/>
              </w:rPr>
              <w:t xml:space="preserve">       </w:t>
            </w:r>
            <w:hyperlink w:history="true" r:id="Rf19c8a02ff85422b">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6b47713b7e4c8a">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0715fd1882f24571">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84d5a67da54a9b">
              <w:r>
                <w:rPr>
                  <w:rStyle w:val="Hyperlink"/>
                </w:rPr>
                <w:t xml:space="preserve">National Indigenous Reform Agreement: PI 10-Proportion of Indigenous children who are enrolled in (and attending, where possible to measure) a preschool program in the year before formal schooling, 2019; Quality Statement</w:t>
              </w:r>
            </w:hyperlink>
          </w:p>
          <w:p>
            <w:pPr>
              <w:spacing w:before="0" w:after="0"/>
            </w:pPr>
            <w:r>
              <w:rPr>
                <w:rStyle w:val="row-content"/>
                <w:color w:val="244061"/>
              </w:rPr>
              <w:t xml:space="preserve">       </w:t>
            </w:r>
            <w:hyperlink w:history="true" r:id="R8730162eb9d84655">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who are enrolled in, and attending, a preschool program in the year before full-time schooling.</w:t>
            </w:r>
          </w:p>
          <w:p>
            <w:pPr>
              <w:spacing w:after="160"/>
            </w:pPr>
            <w:r>
              <w:rPr>
                <w:rStyle w:val="row-content-rich-text"/>
              </w:rPr>
              <w:t xml:space="preserve">Proportions are calculated for Indigenous and non-Indigenous children.</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who are enrolled in a preschool program in the year before full-time schooling.</w:t>
            </w:r>
          </w:p>
          <w:p>
            <w:pPr>
              <w:spacing w:after="160"/>
            </w:pPr>
            <w:r>
              <w:rPr>
                <w:rStyle w:val="row-content-rich-text"/>
              </w:rPr>
              <w:t xml:space="preserve">Measure (b):</w:t>
            </w:r>
          </w:p>
          <w:p>
            <w:pPr>
              <w:spacing w:after="160"/>
            </w:pPr>
            <w:r>
              <w:rPr>
                <w:rStyle w:val="row-content-rich-text"/>
              </w:rPr>
              <w:t xml:space="preserve">The number of children attending a preschool program (for at least one hour in the reference period) in the year before full-time schooling.</w:t>
            </w:r>
          </w:p>
          <w:p>
            <w:pPr/>
            <w:r>
              <w:rPr>
                <w:rStyle w:val="row-content-rich-text"/>
              </w:rPr>
              <w:t xml:space="preserve">The numerator is obtained by summing all children who reported for Measure (a), a ‘Yes’ response against the data element ‘Child—early childhood education program enrolment indicator, yes/no code N’, and for Measure (b), a ‘Yes’ response against the data element ‘Child—early childhood education program attendance indicator, yes/no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a92fda9cf34366">
              <w:r>
                <w:rPr>
                  <w:rStyle w:val="Hyperlink"/>
                </w:rPr>
                <w:t xml:space="preserve">Person—date of birth, DDMMYYYY</w:t>
              </w:r>
            </w:hyperlink>
          </w:p>
          <w:p>
            <w:r>
              <w:rPr>
                <w:rStyle w:val="row-content"/>
                <w:b/>
              </w:rPr>
              <w:t xml:space="preserve">NMDS / DSS</w:t>
            </w:r>
          </w:p>
          <w:p>
            <w:hyperlink w:history="true" r:id="R7bcdf874c5bc4e5b">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1e444837f93b4f92">
              <w:r>
                <w:rPr>
                  <w:rStyle w:val="Hyperlink"/>
                </w:rPr>
                <w:t xml:space="preserve">Child—early childhood education program attendance indicator, yes/no code N</w:t>
              </w:r>
            </w:hyperlink>
          </w:p>
          <w:p>
            <w:r>
              <w:rPr>
                <w:rStyle w:val="row-content"/>
                <w:b/>
              </w:rPr>
              <w:t xml:space="preserve">NMDS / DSS</w:t>
            </w:r>
          </w:p>
          <w:p>
            <w:hyperlink w:history="true" r:id="R4b2d2387e8234103">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58acf94b8bb4465d">
              <w:r>
                <w:rPr>
                  <w:rStyle w:val="Hyperlink"/>
                </w:rPr>
                <w:t xml:space="preserve">Child—early childhood education program enrolment indicator, yes/no code N</w:t>
              </w:r>
            </w:hyperlink>
          </w:p>
          <w:p>
            <w:r>
              <w:rPr>
                <w:rStyle w:val="row-content"/>
                <w:b/>
              </w:rPr>
              <w:t xml:space="preserve">NMDS / DSS</w:t>
            </w:r>
          </w:p>
          <w:p>
            <w:hyperlink w:history="true" r:id="R14f4d552c29848b8">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p>
            <w:r>
              <w:rPr>
                <w:rStyle w:val="row-content"/>
                <w:b/>
                <w:color w:val="000000"/>
              </w:rPr>
              <w:t xml:space="preserve">Data Element / Data Set</w:t>
            </w:r>
          </w:p>
          <w:p>
            <w:hyperlink w:history="true" r:id="Rbe1911e1b7044532">
              <w:r>
                <w:rPr>
                  <w:rStyle w:val="Hyperlink"/>
                </w:rPr>
                <w:t xml:space="preserve">Person—Indigenous status, code N</w:t>
              </w:r>
            </w:hyperlink>
          </w:p>
          <w:p>
            <w:r>
              <w:rPr>
                <w:rStyle w:val="row-content"/>
                <w:b/>
              </w:rPr>
              <w:t xml:space="preserve">NMDS / DSS</w:t>
            </w:r>
          </w:p>
          <w:p>
            <w:hyperlink w:history="true" r:id="Rfe3f0ee25caf421d">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w:t>
            </w:r>
          </w:p>
          <w:p>
            <w:pPr>
              <w:spacing w:after="160"/>
            </w:pPr>
            <w:r>
              <w:rPr>
                <w:rStyle w:val="row-content-rich-text"/>
              </w:rPr>
              <w:t xml:space="preserve">The estimated number of children in the year before full-time schooling (based on adjusted potential population* age in months relating to school starting provisions in each state/territory).</w:t>
            </w:r>
          </w:p>
          <w:p>
            <w:pPr>
              <w:spacing w:after="160"/>
            </w:pPr>
            <w:r>
              <w:rPr>
                <w:rStyle w:val="row-content-rich-text"/>
              </w:rPr>
              <w:t xml:space="preserve">*Potential population:</w:t>
            </w:r>
          </w:p>
          <w:p>
            <w:pPr>
              <w:pStyle w:val="ListParagraph"/>
              <w:numPr>
                <w:ilvl w:val="0"/>
                <w:numId w:val="2"/>
              </w:numPr>
            </w:pPr>
            <w:r>
              <w:rPr>
                <w:rStyle w:val="row-content-rich-text"/>
              </w:rPr>
              <w:t xml:space="preserve">Jurisdictions with wider age cohorts of children in the ‘year’ before full-time schooling—the number of children already in full-time schooling has been subtracted from the revised population estimates to create a cohort of children who could be in an early childhood education program (ECEP) prior to attending school the following year.</w:t>
            </w:r>
          </w:p>
          <w:p>
            <w:pPr>
              <w:pStyle w:val="ListParagraph"/>
              <w:numPr>
                <w:ilvl w:val="0"/>
                <w:numId w:val="2"/>
              </w:numPr>
            </w:pPr>
            <w:r>
              <w:rPr>
                <w:rStyle w:val="row-content-rich-text"/>
              </w:rPr>
              <w:t xml:space="preserve">Jurisdictions with early school starters—counts of children aged 4 who are enrolled in school (early starters) have been subtracted from the population denominator.</w:t>
            </w:r>
          </w:p>
          <w:p>
            <w:pPr>
              <w:pStyle w:val="ListParagraph"/>
              <w:numPr>
                <w:ilvl w:val="0"/>
                <w:numId w:val="2"/>
              </w:numPr>
            </w:pPr>
            <w:r>
              <w:rPr>
                <w:rStyle w:val="row-content-rich-text"/>
              </w:rPr>
              <w:t xml:space="preserve">Adjusted population—population projections (based on 2011 Census) of Indigenous children aged 4 years in 2017. (Only for 2015 (based on 2011 Census), adjust population projections for 4 year olds to account for dip in 0 year olds in 2011 Census – for 2015 use average of the 4 year old population for 2014 and 2016).</w:t>
            </w:r>
          </w:p>
          <w:p>
            <w:pPr>
              <w:spacing w:after="160"/>
            </w:pPr>
            <w:r>
              <w:rPr>
                <w:rStyle w:val="row-content-rich-text"/>
              </w:rPr>
              <w:t xml:space="preserve">Measure (b):</w:t>
            </w:r>
          </w:p>
          <w:p>
            <w:pPr/>
            <w:r>
              <w:rPr>
                <w:rStyle w:val="row-content-rich-text"/>
              </w:rPr>
              <w:t xml:space="preserve">The estimated number of children enrolled in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Students—Full-time</w:t>
            </w:r>
          </w:p>
          <w:p>
            <w:r>
              <w:rPr>
                <w:rStyle w:val="row-content"/>
              </w:rPr>
              <w:t xml:space="preserve">Students—Age</w:t>
            </w:r>
          </w:p>
          <w:p>
            <w:r>
              <w:rPr>
                <w:rStyle w:val="row-content"/>
              </w:rPr>
              <w:t xml:space="preserve"> </w:t>
            </w:r>
          </w:p>
          <w:p>
            <w:r>
              <w:rPr>
                <w:rStyle w:val="row-content"/>
                <w:b/>
              </w:rPr>
              <w:t xml:space="preserve">Data Source</w:t>
            </w:r>
          </w:p>
          <w:p>
            <w:hyperlink w:history="true" r:id="R7b7835b7a8424111">
              <w:r>
                <w:rPr>
                  <w:rStyle w:val="Hyperlink"/>
                </w:rPr>
                <w:t xml:space="preserve">National Schools Statistics Collection</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427c411d520474f">
              <w:r>
                <w:rPr>
                  <w:rStyle w:val="Hyperlink"/>
                </w:rPr>
                <w:t xml:space="preserve">ABS Estimated resident population (2011 Census-based)</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1d8b1e59619466e">
              <w:r>
                <w:rPr>
                  <w:rStyle w:val="Hyperlink"/>
                </w:rPr>
                <w:t xml:space="preserve">ABS Indigenous estimates and projections (2011 Census-based)</w:t>
              </w:r>
            </w:hyperlink>
          </w:p>
          <w:p>
            <w:r>
              <w:rPr>
                <w:rStyle w:val="row-content"/>
                <w:b/>
                <w:color w:val="000000"/>
              </w:rPr>
              <w:t xml:space="preserve">Data Element / Data Set</w:t>
            </w:r>
          </w:p>
          <w:p>
            <w:hyperlink w:history="true" r:id="R16c02708ab1d4a6e">
              <w:r>
                <w:rPr>
                  <w:rStyle w:val="Hyperlink"/>
                </w:rPr>
                <w:t xml:space="preserve">Child—early childhood education program enrolment indicator, yes/no code N</w:t>
              </w:r>
            </w:hyperlink>
          </w:p>
          <w:p>
            <w:r>
              <w:rPr>
                <w:rStyle w:val="row-content"/>
                <w:b/>
              </w:rPr>
              <w:t xml:space="preserve">NMDS / DSS</w:t>
            </w:r>
          </w:p>
          <w:p>
            <w:hyperlink w:history="true" r:id="R895a7e3c5ebe4e59">
              <w:r>
                <w:rPr>
                  <w:rStyle w:val="Hyperlink"/>
                </w:rPr>
                <w:t xml:space="preserve">Early Childhood Education and Care: Unit Record Level NMDS 2015</w:t>
              </w:r>
            </w:hyperlink>
          </w:p>
          <w:p>
            <w:r>
              <w:rPr>
                <w:rStyle w:val="row-content"/>
                <w:b/>
              </w:rPr>
              <w:t xml:space="preserve">Guide for use</w:t>
            </w:r>
          </w:p>
          <w:p>
            <w:r>
              <w:rPr>
                <w:rStyle w:val="row-content"/>
              </w:rPr>
              <w:t xml:space="preserve"> </w:t>
            </w:r>
          </w:p>
          <w:p>
            <w:r>
              <w:rPr>
                <w:rStyle w:val="row-content"/>
              </w:rPr>
              <w:t xml:space="preserve">Data source type: Compilation of jurisdictional administrative data and censuses.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(2017):</w:t>
            </w:r>
          </w:p>
          <w:p>
            <w:pPr>
              <w:spacing w:after="160"/>
            </w:pPr>
            <w:r>
              <w:rPr>
                <w:rStyle w:val="row-content-rich-text"/>
              </w:rPr>
              <w:t xml:space="preserve">Measure (a):</w:t>
            </w:r>
          </w:p>
          <w:p>
            <w:pPr>
              <w:pStyle w:val="ListParagraph"/>
              <w:numPr>
                <w:ilvl w:val="0"/>
                <w:numId w:val="3"/>
              </w:numPr>
            </w:pPr>
            <w:r>
              <w:rPr>
                <w:rStyle w:val="row-content-rich-text"/>
              </w:rPr>
              <w:t xml:space="preserve">State and territory, and nationally by Indigenous status</w:t>
            </w:r>
          </w:p>
          <w:p>
            <w:pPr>
              <w:spacing w:after="160"/>
            </w:pPr>
            <w:r>
              <w:rPr>
                <w:rStyle w:val="row-content-rich-text"/>
              </w:rPr>
              <w:t xml:space="preserve">Measure (b):</w:t>
            </w:r>
          </w:p>
          <w:p>
            <w:pPr>
              <w:pStyle w:val="ListParagraph"/>
              <w:numPr>
                <w:ilvl w:val="0"/>
                <w:numId w:val="4"/>
              </w:numPr>
            </w:pPr>
            <w:r>
              <w:rPr>
                <w:rStyle w:val="row-content-rich-text"/>
              </w:rPr>
              <w:t xml:space="preserve">Nationally by remoteness, by Indigenous status (Remoteness areas are Major cities; Inner regional; Outer regional; Remote; Very remote).</w:t>
            </w:r>
          </w:p>
          <w:p>
            <w:pPr>
              <w:pStyle w:val="ListParagraph"/>
              <w:numPr>
                <w:ilvl w:val="0"/>
                <w:numId w:val="4"/>
              </w:numPr>
            </w:pPr>
            <w:r>
              <w:rPr>
                <w:rStyle w:val="row-content-rich-text"/>
              </w:rPr>
              <w:t xml:space="preserve">State and territory and nationally, by Indigenous status</w:t>
            </w:r>
          </w:p>
          <w:p>
            <w:pPr/>
            <w:r>
              <w:rPr>
                <w:rStyle w:val="row-content-rich-text"/>
                <w:b/>
              </w:rPr>
              <w:t xml:space="preserve">Time series</w:t>
            </w:r>
            <w:r>
              <w:rPr>
                <w:rStyle w:val="row-content-rich-text"/>
              </w:rPr>
              <w:t xml:space="preserve">—2015 and 2016 (previously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data involves alignment of the numerator and denominator:</w:t>
            </w:r>
          </w:p>
          <w:p>
            <w:pPr>
              <w:pStyle w:val="ListParagraph"/>
              <w:numPr>
                <w:ilvl w:val="0"/>
                <w:numId w:val="5"/>
              </w:numPr>
            </w:pPr>
            <w:r>
              <w:rPr>
                <w:rStyle w:val="row-content-rich-text"/>
              </w:rPr>
              <w:t xml:space="preserve">for attendance and enrolment place of usual residence</w:t>
            </w:r>
            <w:r>
              <w:rPr>
                <w:rStyle w:val="row-content-rich-text"/>
              </w:rPr>
              <w:t xml:space="preserve">—</w:t>
            </w:r>
            <w:r>
              <w:rPr>
                <w:rStyle w:val="row-content-rich-text"/>
              </w:rPr>
              <w:t xml:space="preserve">child is counted where they reside, not by where the provider is located (where insufficient information on the child’s address was collected, where no address details have been provided, or no unit record level information exists</w:t>
            </w:r>
            <w:r>
              <w:rPr>
                <w:rStyle w:val="row-content-rich-text"/>
              </w:rPr>
              <w:t xml:space="preserve">—</w:t>
            </w:r>
            <w:r>
              <w:rPr>
                <w:rStyle w:val="row-content-rich-text"/>
              </w:rPr>
              <w:t xml:space="preserve">remoteness area is to be assigned using the address of the service at which the child is enrolled, according to the Remoteness Structure of the Australian Bureau of Statistics Australian Statistical Geography Standard (ASGS)).</w:t>
            </w:r>
          </w:p>
          <w:p>
            <w:pPr>
              <w:pStyle w:val="ListParagraph"/>
              <w:numPr>
                <w:ilvl w:val="0"/>
                <w:numId w:val="5"/>
              </w:numPr>
            </w:pPr>
            <w:r>
              <w:rPr>
                <w:rStyle w:val="row-content-rich-text"/>
              </w:rPr>
              <w:t xml:space="preserve">for enrolment only treatment of not stated Indigenous status</w:t>
            </w:r>
            <w:r>
              <w:rPr>
                <w:rStyle w:val="row-content-rich-text"/>
              </w:rPr>
              <w:t xml:space="preserve">—</w:t>
            </w:r>
            <w:r>
              <w:rPr>
                <w:rStyle w:val="row-content-rich-text"/>
              </w:rPr>
              <w:t xml:space="preserve">Indigenous count includes addition of a share of children enrolled with a not stated Indigenous status in proportion to the ratio of children enrolled with known Indigenous status. (For attendance not stated Indigenous status is excluded from the numerator).</w:t>
            </w:r>
          </w:p>
          <w:p>
            <w:pPr>
              <w:spacing w:after="160"/>
            </w:pPr>
            <w:r>
              <w:rPr>
                <w:rStyle w:val="row-content-rich-text"/>
              </w:rPr>
              <w:t xml:space="preserve">This indicator should use child level data excluding repeaters where available, calculated using a </w:t>
            </w:r>
            <w:hyperlink w:history="true" r:id="Ra854068023e8467f">
              <w:r>
                <w:rPr>
                  <w:rStyle w:val="Hyperlink"/>
                </w:rPr>
                <w:t xml:space="preserve">Statistical Linkage Key (SLK) </w:t>
              </w:r>
            </w:hyperlink>
            <w:r>
              <w:rPr>
                <w:rStyle w:val="row-content-rich-text"/>
              </w:rPr>
              <w:t xml:space="preserve">which provides a unique identifier for the majority of children.</w:t>
            </w:r>
          </w:p>
          <w:p>
            <w:pPr>
              <w:spacing w:after="160"/>
            </w:pPr>
            <w:r>
              <w:rPr>
                <w:rStyle w:val="row-content-rich-text"/>
              </w:rPr>
              <w:t xml:space="preserve">Currently, some records in the National Early Childhood Education and Care (ECEC) Collection are produced from aggregate data rather than at the unique child level. Where no child level data are available, counts of preschool episodes are to be used.</w:t>
            </w:r>
          </w:p>
          <w:p>
            <w:pPr>
              <w:spacing w:after="160"/>
            </w:pPr>
            <w:r>
              <w:rPr>
                <w:rStyle w:val="row-content-rich-text"/>
              </w:rPr>
              <w:t xml:space="preserve"> </w:t>
            </w:r>
          </w:p>
          <w:p>
            <w:pPr>
              <w:spacing w:after="160"/>
            </w:pPr>
            <w:r>
              <w:rPr>
                <w:rStyle w:val="row-content-rich-text"/>
              </w:rPr>
              <w:t xml:space="preserve">Where available, the count of ‘Children in a preschool program in the year before full-time schooling’ (YBFS) is to be used. This count includes all children who were enrolled in and attended an early childhood education program in the YBFS, where YBFS is based on adjusted potential population age in months relating to school starting provisions in each state/territory.</w:t>
            </w:r>
          </w:p>
          <w:p>
            <w:pPr>
              <w:spacing w:after="160"/>
            </w:pPr>
            <w:r>
              <w:rPr>
                <w:rStyle w:val="row-content-rich-text"/>
              </w:rPr>
              <w:t xml:space="preserve">Where YBFS is not available, the count of ‘Children in a preschool program in the calendar year’ (‘Children in 2016’) is to be used. This count includes all children aged 4 and 5 that were enrolled in and attended a preschool program in the collection year. A child is included in this count regardless of whether they also attended a preschool program in a previous year (that is, including children who were enrolled in and attended more than one year of a preschool program).</w:t>
            </w:r>
          </w:p>
          <w:p>
            <w:pPr/>
            <w:r>
              <w:rPr>
                <w:rStyle w:val="row-content-rich-text"/>
              </w:rPr>
              <w:t xml:space="preserve">For more information on creating unique child records from child episode data, including how to treat multiple enrolments and repeat enrolments over time, see Chapter 3 in National Early Childhood Education and Care Collection: Concepts, Sources and Method (ABS 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e80805b8ff44c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669aed9a2a4a97">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p>
            <w:r>
              <w:rPr>
                <w:rStyle w:val="row-content"/>
                <w:b/>
                <w:color w:val="000000"/>
              </w:rPr>
              <w:t xml:space="preserve">Data Source</w:t>
            </w:r>
          </w:p>
          <w:p>
            <w:hyperlink w:history="true" r:id="R8f6e9fb1469e418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625806ff397471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c2cbf722a6475d">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2013. National Early Childhood Education and Care Collection: Concepts, Sources and Methods. ABS Cat. no. 4240.0.55.001. Canberra: ABS.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de9b9bc7b42e7">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cc12ce3fae98460b">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6bf263ca757e4bf5">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50d23a79f19d420f">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bd998160822241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fa59aaf70f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9816082224102" /><Relationship Type="http://schemas.openxmlformats.org/officeDocument/2006/relationships/header" Target="/word/header1.xml" Id="R194052a28e4740c9" /><Relationship Type="http://schemas.openxmlformats.org/officeDocument/2006/relationships/settings" Target="/word/settings.xml" Id="R27896abb09384290" /><Relationship Type="http://schemas.openxmlformats.org/officeDocument/2006/relationships/styles" Target="/word/styles.xml" Id="R4b418d354fe540e2" /><Relationship Type="http://schemas.openxmlformats.org/officeDocument/2006/relationships/hyperlink" Target="https://meteor.aihw.gov.au/RegistrationAuthority/6" TargetMode="External" Id="Rd367cf47b2d24724" /><Relationship Type="http://schemas.openxmlformats.org/officeDocument/2006/relationships/hyperlink" Target="https://meteor.aihw.gov.au/content/697092" TargetMode="External" Id="R449431aefbc947ff" /><Relationship Type="http://schemas.openxmlformats.org/officeDocument/2006/relationships/hyperlink" Target="https://meteor.aihw.gov.au/RegistrationAuthority/6" TargetMode="External" Id="Rf19c8a02ff85422b" /><Relationship Type="http://schemas.openxmlformats.org/officeDocument/2006/relationships/hyperlink" Target="https://meteor.aihw.gov.au/content/645879" TargetMode="External" Id="R286b47713b7e4c8a" /><Relationship Type="http://schemas.openxmlformats.org/officeDocument/2006/relationships/hyperlink" Target="https://meteor.aihw.gov.au/RegistrationAuthority/6" TargetMode="External" Id="R0715fd1882f24571" /><Relationship Type="http://schemas.openxmlformats.org/officeDocument/2006/relationships/hyperlink" Target="https://meteor.aihw.gov.au/content/711077" TargetMode="External" Id="R6584d5a67da54a9b" /><Relationship Type="http://schemas.openxmlformats.org/officeDocument/2006/relationships/hyperlink" Target="https://meteor.aihw.gov.au/RegistrationAuthority/6" TargetMode="External" Id="R8730162eb9d84655" /><Relationship Type="http://schemas.openxmlformats.org/officeDocument/2006/relationships/hyperlink" Target="https://meteor.aihw.gov.au/content/287007" TargetMode="External" Id="Ra1a92fda9cf34366" /><Relationship Type="http://schemas.openxmlformats.org/officeDocument/2006/relationships/hyperlink" Target="https://meteor.aihw.gov.au/content/602247" TargetMode="External" Id="R7bcdf874c5bc4e5b" /><Relationship Type="http://schemas.openxmlformats.org/officeDocument/2006/relationships/hyperlink" Target="https://meteor.aihw.gov.au/content/602298" TargetMode="External" Id="R1e444837f93b4f92" /><Relationship Type="http://schemas.openxmlformats.org/officeDocument/2006/relationships/hyperlink" Target="https://meteor.aihw.gov.au/content/602247" TargetMode="External" Id="R4b2d2387e8234103" /><Relationship Type="http://schemas.openxmlformats.org/officeDocument/2006/relationships/hyperlink" Target="https://meteor.aihw.gov.au/content/602301" TargetMode="External" Id="R58acf94b8bb4465d" /><Relationship Type="http://schemas.openxmlformats.org/officeDocument/2006/relationships/hyperlink" Target="https://meteor.aihw.gov.au/content/602247" TargetMode="External" Id="R14f4d552c29848b8" /><Relationship Type="http://schemas.openxmlformats.org/officeDocument/2006/relationships/hyperlink" Target="https://meteor.aihw.gov.au/content/602543" TargetMode="External" Id="Rbe1911e1b7044532" /><Relationship Type="http://schemas.openxmlformats.org/officeDocument/2006/relationships/hyperlink" Target="https://meteor.aihw.gov.au/content/602247" TargetMode="External" Id="Rfe3f0ee25caf421d" /><Relationship Type="http://schemas.openxmlformats.org/officeDocument/2006/relationships/numbering" Target="/word/numbering.xml" Id="R16ef6ecd63934cd4" /><Relationship Type="http://schemas.openxmlformats.org/officeDocument/2006/relationships/hyperlink" Target="https://meteor.aihw.gov.au/content/396607" TargetMode="External" Id="R7b7835b7a8424111" /><Relationship Type="http://schemas.openxmlformats.org/officeDocument/2006/relationships/hyperlink" Target="https://meteor.aihw.gov.au/content/585823" TargetMode="External" Id="R7427c411d520474f" /><Relationship Type="http://schemas.openxmlformats.org/officeDocument/2006/relationships/hyperlink" Target="https://meteor.aihw.gov.au/content/585844" TargetMode="External" Id="Rc1d8b1e59619466e" /><Relationship Type="http://schemas.openxmlformats.org/officeDocument/2006/relationships/hyperlink" Target="https://meteor.aihw.gov.au/content/602301" TargetMode="External" Id="R16c02708ab1d4a6e" /><Relationship Type="http://schemas.openxmlformats.org/officeDocument/2006/relationships/hyperlink" Target="https://meteor.aihw.gov.au/content/602247" TargetMode="External" Id="R895a7e3c5ebe4e59" /><Relationship Type="http://schemas.openxmlformats.org/officeDocument/2006/relationships/hyperlink" Target="https://meteor.aihw.gov.au/content/349895" TargetMode="External" Id="Ra854068023e8467f" /><Relationship Type="http://schemas.openxmlformats.org/officeDocument/2006/relationships/hyperlink" Target="https://meteor.aihw.gov.au/content/410674" TargetMode="External" Id="R3ee80805b8ff44c0" /><Relationship Type="http://schemas.openxmlformats.org/officeDocument/2006/relationships/hyperlink" Target="https://meteor.aihw.gov.au/content/396607" TargetMode="External" Id="Rcf669aed9a2a4a97" /><Relationship Type="http://schemas.openxmlformats.org/officeDocument/2006/relationships/hyperlink" Target="https://meteor.aihw.gov.au/content/585823" TargetMode="External" Id="R8f6e9fb1469e4185" /><Relationship Type="http://schemas.openxmlformats.org/officeDocument/2006/relationships/hyperlink" Target="https://meteor.aihw.gov.au/content/585844" TargetMode="External" Id="Rd625806ff397471b" /><Relationship Type="http://schemas.openxmlformats.org/officeDocument/2006/relationships/hyperlink" Target="https://meteor.aihw.gov.au/content/410271" TargetMode="External" Id="Rc3c2cbf722a6475d" /><Relationship Type="http://schemas.openxmlformats.org/officeDocument/2006/relationships/hyperlink" Target="https://meteor.aihw.gov.au/content/668641" TargetMode="External" Id="Rec8de9b9bc7b42e7" /><Relationship Type="http://schemas.openxmlformats.org/officeDocument/2006/relationships/hyperlink" Target="https://meteor.aihw.gov.au/RegistrationAuthority/6" TargetMode="External" Id="Rcc12ce3fae98460b" /><Relationship Type="http://schemas.openxmlformats.org/officeDocument/2006/relationships/hyperlink" Target="https://meteor.aihw.gov.au/content/718490" TargetMode="External" Id="R6bf263ca757e4bf5" /><Relationship Type="http://schemas.openxmlformats.org/officeDocument/2006/relationships/hyperlink" Target="https://meteor.aihw.gov.au/RegistrationAuthority/6" TargetMode="External" Id="R50d23a79f19d420f" /></Relationships>
</file>

<file path=word/_rels/header1.xml.rels>&#65279;<?xml version="1.0" encoding="utf-8"?><Relationships xmlns="http://schemas.openxmlformats.org/package/2006/relationships"><Relationship Type="http://schemas.openxmlformats.org/officeDocument/2006/relationships/image" Target="/media/image.png" Id="Rebfa59aaf70f401d" /></Relationships>
</file>