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78ea42ff1524515"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Elective Surgery - Elective surgery admissions,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Elective Surgery - Elective surgery admissions,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Elective surgery admissions from the waiting list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405271932f448f4">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measures the number of patients that have been removed from the elective surgery waiting list as admitted to the hospital (or contracting hospital) and receiving their waiting list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aed74ec52184070">
              <w:r>
                <w:rPr>
                  <w:rStyle w:val="Hyperlink"/>
                </w:rPr>
                <w:t xml:space="preserve">Service Plan - Department of Health Tasmania: 2018</w:t>
              </w:r>
            </w:hyperlink>
          </w:p>
          <w:p>
            <w:pPr>
              <w:spacing w:before="0" w:after="0"/>
            </w:pPr>
            <w:r>
              <w:rPr>
                <w:rStyle w:val="row-content"/>
                <w:color w:val="244061"/>
              </w:rPr>
              <w:t xml:space="preserve">       </w:t>
            </w:r>
            <w:hyperlink w:history="true" r:id="R2109f3bef4204465">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88ff00c81c84711">
              <w:r>
                <w:rPr>
                  <w:rStyle w:val="Hyperlink"/>
                </w:rPr>
                <w:t xml:space="preserve">Elective surgery access</w:t>
              </w:r>
            </w:hyperlink>
          </w:p>
          <w:p>
            <w:pPr>
              <w:spacing w:before="0" w:after="0"/>
            </w:pPr>
            <w:r>
              <w:rPr>
                <w:rStyle w:val="row-content"/>
                <w:color w:val="244061"/>
              </w:rPr>
              <w:t xml:space="preserve">       </w:t>
            </w:r>
            <w:hyperlink w:history="true" r:id="Ra85ed14bf5db4e0a">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definitions applied are consistent with the national definitions used for reporting against the National Partnership Agreement on Improving Public Hospital Services. The definitions applied include admission from the elective surgery waiting list where the planned procedure was completed. This also includes patients admitted for the waiting list as an emergency.</w:t>
            </w:r>
          </w:p>
          <w:p>
            <w:pPr>
              <w:spacing w:after="160"/>
            </w:pPr>
            <w:r>
              <w:rPr>
                <w:rStyle w:val="row-content-rich-text"/>
              </w:rPr>
              <w:t xml:space="preserve">Indicator procedures as defined in the Tasmanian wait list procedure code (TWLPC) set and specify which procedures are included in the calculation of this indicator in accordance with national definitions.</w:t>
            </w:r>
          </w:p>
          <w:p>
            <w:pPr/>
            <w:r>
              <w:rPr>
                <w:rStyle w:val="row-content-rich-text"/>
              </w:rPr>
              <w:t xml:space="preserve">For 2012-13 onwards, this indicator excludes admissions funded by the Tasmanian Government Endoscopy and Elective Surgery Initiative and the National Partnership Agreement on Improving Health Services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 numerator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The [SourceIdentifier] field from the PIC.Dim_Endo$4Mill and PIC.Dim_NPAIHST tables in Health Central is the unique identifier to identify the activities funded by the Tasmanian Government Endoscopy and Elective Surgery Initiative and the National Partnership Agreement on Improving Health Services in Tasmania.</w:t>
            </w:r>
          </w:p>
          <w:p>
            <w:r>
              <w:rPr>
                <w:rStyle w:val="row-content"/>
              </w:rPr>
              <w:t xml:space="preserve">The [SourceIdentifier] field is the ProviderSpellRefNo and is unique to the Waiting List.  Internally it is also referred to as the FactWaitingList.SourceIdentifier.</w:t>
            </w:r>
          </w:p>
          <w:p>
            <w:r>
              <w:rPr>
                <w:rStyle w:val="row-content"/>
              </w:rPr>
              <w:t xml:space="preserve"> </w:t>
            </w:r>
          </w:p>
          <w:p>
            <w:r>
              <w:rPr>
                <w:rStyle w:val="row-content"/>
                <w:b/>
                <w:color w:val="000000"/>
              </w:rPr>
              <w:t xml:space="preserve">Data Element / Data Set</w:t>
            </w:r>
          </w:p>
          <w:p>
            <w:hyperlink w:history="true" r:id="R4b33cb03e97649a8">
              <w:r>
                <w:rPr>
                  <w:rStyle w:val="Hyperlink"/>
                </w:rPr>
                <w:t xml:space="preserve">Person—person identifier, identifier (Tasmanian) N(9)</w:t>
              </w:r>
            </w:hyperlink>
          </w:p>
          <w:p>
            <w:r>
              <w:rPr>
                <w:rStyle w:val="row-content"/>
                <w:b/>
                <w:color w:val="000000"/>
              </w:rPr>
              <w:t xml:space="preserve">Data Element / Data Set</w:t>
            </w:r>
          </w:p>
          <w:p>
            <w:hyperlink w:history="true" r:id="R25230fb3aa4c4737">
              <w:r>
                <w:rPr>
                  <w:rStyle w:val="Hyperlink"/>
                </w:rPr>
                <w:t xml:space="preserve">Establishment—organisation identifier, (Tasmanian) identifier NNNN</w:t>
              </w:r>
            </w:hyperlink>
          </w:p>
          <w:p>
            <w:r>
              <w:rPr>
                <w:rStyle w:val="row-content"/>
                <w:b/>
                <w:color w:val="000000"/>
              </w:rPr>
              <w:t xml:space="preserve">Data Element / Data Set</w:t>
            </w:r>
          </w:p>
          <w:p>
            <w:hyperlink w:history="true" r:id="R1ee5c414f094465c">
              <w:r>
                <w:rPr>
                  <w:rStyle w:val="Hyperlink"/>
                </w:rPr>
                <w:t xml:space="preserve">Elective care waiting list episode—waiting list removal date, DDMMYYYY</w:t>
              </w:r>
            </w:hyperlink>
          </w:p>
          <w:p>
            <w:r>
              <w:rPr>
                <w:rStyle w:val="row-content"/>
                <w:b/>
              </w:rPr>
              <w:t xml:space="preserve">Guide for use</w:t>
            </w:r>
          </w:p>
          <w:p>
            <w:r>
              <w:rPr>
                <w:rStyle w:val="row-content"/>
              </w:rPr>
              <w:t xml:space="preserve"> </w:t>
            </w:r>
          </w:p>
          <w:p>
            <w:r>
              <w:rPr>
                <w:rStyle w:val="row-content"/>
              </w:rPr>
              <w:t xml:space="preserve">Data is obtained from the [RemovalDateTime] field in Health Central.</w:t>
            </w:r>
          </w:p>
          <w:p>
            <w:r>
              <w:rPr>
                <w:rStyle w:val="row-content"/>
              </w:rPr>
              <w:t xml:space="preserve"> </w:t>
            </w:r>
          </w:p>
          <w:p>
            <w:r>
              <w:rPr>
                <w:rStyle w:val="row-content"/>
                <w:b/>
                <w:color w:val="000000"/>
              </w:rPr>
              <w:t xml:space="preserve">Data Element / Data Set</w:t>
            </w:r>
          </w:p>
          <w:p>
            <w:hyperlink w:history="true" r:id="Rdfd4315d2bb94bca">
              <w:r>
                <w:rPr>
                  <w:rStyle w:val="Hyperlink"/>
                </w:rPr>
                <w:t xml:space="preserve">Elective surgery waiting list episode—reason for removal from a waiting list, code (Tasmanian) X[AAAAAA]</w:t>
              </w:r>
            </w:hyperlink>
          </w:p>
          <w:p>
            <w:r>
              <w:rPr>
                <w:rStyle w:val="row-content"/>
                <w:b/>
              </w:rPr>
              <w:t xml:space="preserve">Guide for use</w:t>
            </w:r>
          </w:p>
          <w:p>
            <w:r>
              <w:rPr>
                <w:rStyle w:val="row-content"/>
              </w:rPr>
              <w:t xml:space="preserve"> </w:t>
            </w:r>
          </w:p>
          <w:p>
            <w:r>
              <w:rPr>
                <w:rStyle w:val="row-content"/>
              </w:rPr>
              <w:t xml:space="preserve">Data is obtained from the [RemovalReasonRefId] field in Health Central and includes records where the reason for removal is recorded as </w:t>
            </w:r>
            <w:r>
              <w:rPr>
                <w:rStyle w:val="row-content"/>
                <w:i/>
              </w:rPr>
              <w:t xml:space="preserve">Planned procedure completed or Admitted as emergency</w:t>
            </w:r>
            <w:r>
              <w:rPr>
                <w:rStyle w:val="row-content"/>
                <w:i/>
              </w:rPr>
              <w:t xml:space="preserve">.</w:t>
            </w:r>
          </w:p>
          <w:p>
            <w:r>
              <w:rPr>
                <w:rStyle w:val="row-content"/>
              </w:rPr>
              <w:t xml:space="preserve"> </w:t>
            </w:r>
          </w:p>
          <w:p>
            <w:r>
              <w:rPr>
                <w:rStyle w:val="row-content"/>
                <w:b/>
                <w:color w:val="000000"/>
              </w:rPr>
              <w:t xml:space="preserve">Data Element / Data Set</w:t>
            </w:r>
          </w:p>
          <w:p>
            <w:hyperlink w:history="true" r:id="Rb81a25ef18304945">
              <w:r>
                <w:rPr>
                  <w:rStyle w:val="Hyperlink"/>
                </w:rPr>
                <w:t xml:space="preserve">Elective surgery waiting list episode—intended procedure, waiting list procedure (Tasmanian TWLPC) code NN[N]</w:t>
              </w:r>
            </w:hyperlink>
          </w:p>
          <w:p>
            <w:r>
              <w:rPr>
                <w:rStyle w:val="row-content"/>
                <w:b/>
              </w:rPr>
              <w:t xml:space="preserve">Guide for use</w:t>
            </w:r>
          </w:p>
          <w:p>
            <w:r>
              <w:rPr>
                <w:rStyle w:val="row-content"/>
              </w:rPr>
              <w:t xml:space="preserve"> </w:t>
            </w:r>
          </w:p>
          <w:p>
            <w:r>
              <w:rPr>
                <w:rStyle w:val="row-content"/>
              </w:rPr>
              <w:t xml:space="preserve">Data is obtained from the [PlannedPrimaryProcedureCodeId] field in Health Central.</w:t>
            </w:r>
          </w:p>
          <w:p>
            <w:r>
              <w:rPr>
                <w:rStyle w:val="row-content"/>
              </w:rPr>
              <w:t xml:space="preserve">Patients awaiting the following procedures are out of the scope for elective surgery reporting:</w:t>
            </w:r>
          </w:p>
          <w:p>
            <w:r>
              <w:rPr>
                <w:rStyle w:val="row-content"/>
              </w:rPr>
              <w:t xml:space="preserve"> </w:t>
            </w:r>
          </w:p>
          <w:tbl>
            <w:tblPr>
              <w:tblStyle w:val="TableGrid"/>
              <w:tblW w:w="5000" w:type="pct"/>
              <w:tblLayout w:type="autofit"/>
            </w:tblPr>
            <w:tblGrid>
              <w:gridCol/>
              <w:gridCol/>
            </w:tblGrid>
            <w:tr>
              <w:trPr/>
              <w:tc>
                <w:tcPr>
                  <w:tcW w:w="1000" w:type="pct"/>
                  <w:vAlign w:val="top"/>
                </w:tcPr>
                <w:p>
                  <w:r>
                    <w:rPr>
                      <w:rStyle w:val="row-content"/>
                    </w:rPr>
                    <w:t xml:space="preserve">Code</w:t>
                  </w:r>
                </w:p>
              </w:tc>
              <w:tc>
                <w:tcPr>
                  <w:tcW w:w="4000" w:type="pct"/>
                  <w:vAlign w:val="top"/>
                </w:tcPr>
                <w:p>
                  <w:r>
                    <w:rPr>
                      <w:rStyle w:val="row-content"/>
                    </w:rPr>
                    <w:t xml:space="preserve">Description</w:t>
                  </w:r>
                </w:p>
              </w:tc>
            </w:tr>
            <w:tr>
              <w:trPr/>
              <w:tc>
                <w:tcPr>
                  <w:tcW w:w="1000" w:type="pct"/>
                  <w:vAlign w:val="top"/>
                </w:tcPr>
                <w:p>
                  <w:r>
                    <w:rPr>
                      <w:rStyle w:val="row-content"/>
                    </w:rPr>
                    <w:t xml:space="preserve">32</w:t>
                  </w:r>
                </w:p>
              </w:tc>
              <w:tc>
                <w:tcPr>
                  <w:tcW w:w="4000" w:type="pct"/>
                  <w:vAlign w:val="top"/>
                </w:tcPr>
                <w:p>
                  <w:r>
                    <w:t xml:space="preserve">Colonoscopy (non surgical)</w:t>
                  </w:r>
                </w:p>
              </w:tc>
            </w:tr>
            <w:tr>
              <w:trPr/>
              <w:tc>
                <w:tcPr>
                  <w:tcW w:w="1000" w:type="pct"/>
                  <w:vAlign w:val="top"/>
                </w:tcPr>
                <w:p>
                  <w:r>
                    <w:t xml:space="preserve">88</w:t>
                  </w:r>
                </w:p>
              </w:tc>
              <w:tc>
                <w:tcPr>
                  <w:tcW w:w="4000" w:type="pct"/>
                  <w:vAlign w:val="top"/>
                </w:tcPr>
                <w:p>
                  <w:r>
                    <w:t xml:space="preserve">Cosmetic including - circumcision, varicose veins, mammoplasty, tattoo removal, abdominoplasty, wher</w:t>
                  </w:r>
                </w:p>
              </w:tc>
            </w:tr>
            <w:tr>
              <w:trPr/>
              <w:tc>
                <w:tcPr>
                  <w:tcW w:w="1000" w:type="pct"/>
                  <w:vAlign w:val="top"/>
                </w:tcPr>
                <w:p>
                  <w:r>
                    <w:t xml:space="preserve">113</w:t>
                  </w:r>
                </w:p>
              </w:tc>
              <w:tc>
                <w:tcPr>
                  <w:tcW w:w="4000" w:type="pct"/>
                  <w:vAlign w:val="top"/>
                </w:tcPr>
                <w:p>
                  <w:r>
                    <w:t xml:space="preserve">Bronchoscopy</w:t>
                  </w:r>
                </w:p>
              </w:tc>
            </w:tr>
            <w:tr>
              <w:trPr/>
              <w:tc>
                <w:tcPr>
                  <w:tcW w:w="1000" w:type="pct"/>
                  <w:vAlign w:val="top"/>
                </w:tcPr>
                <w:p>
                  <w:r>
                    <w:t xml:space="preserve">128</w:t>
                  </w:r>
                </w:p>
              </w:tc>
              <w:tc>
                <w:tcPr>
                  <w:tcW w:w="4000" w:type="pct"/>
                  <w:vAlign w:val="top"/>
                </w:tcPr>
                <w:p>
                  <w:r>
                    <w:t xml:space="preserve">Wisdom teeth removal</w:t>
                  </w:r>
                </w:p>
              </w:tc>
            </w:tr>
            <w:tr>
              <w:trPr/>
              <w:tc>
                <w:tcPr>
                  <w:tcW w:w="1000" w:type="pct"/>
                  <w:vAlign w:val="top"/>
                </w:tcPr>
                <w:p>
                  <w:r>
                    <w:t xml:space="preserve">129</w:t>
                  </w:r>
                </w:p>
              </w:tc>
              <w:tc>
                <w:tcPr>
                  <w:tcW w:w="4000" w:type="pct"/>
                  <w:vAlign w:val="top"/>
                </w:tcPr>
                <w:p>
                  <w:r>
                    <w:t xml:space="preserve">Other dental procedures</w:t>
                  </w:r>
                </w:p>
              </w:tc>
            </w:tr>
            <w:tr>
              <w:trPr/>
              <w:tc>
                <w:tcPr>
                  <w:tcW w:w="1000" w:type="pct"/>
                  <w:vAlign w:val="top"/>
                </w:tcPr>
                <w:p>
                  <w:r>
                    <w:t xml:space="preserve">320</w:t>
                  </w:r>
                </w:p>
              </w:tc>
              <w:tc>
                <w:tcPr>
                  <w:tcW w:w="4000" w:type="pct"/>
                  <w:vAlign w:val="top"/>
                </w:tcPr>
                <w:p>
                  <w:r>
                    <w:t xml:space="preserve">Colonoscopy (Bowel Cancer Screening Program)</w:t>
                  </w:r>
                </w:p>
              </w:tc>
            </w:tr>
            <w:tr>
              <w:trPr/>
              <w:tc>
                <w:tcPr>
                  <w:tcW w:w="1000" w:type="pct"/>
                  <w:vAlign w:val="top"/>
                </w:tcPr>
                <w:p>
                  <w:r>
                    <w:t xml:space="preserve">321</w:t>
                  </w:r>
                </w:p>
              </w:tc>
              <w:tc>
                <w:tcPr>
                  <w:tcW w:w="4000" w:type="pct"/>
                  <w:vAlign w:val="top"/>
                </w:tcPr>
                <w:p>
                  <w:r>
                    <w:t xml:space="preserve">Direct access colonoscopy (Bowel Cancer Screening Program)</w:t>
                  </w:r>
                </w:p>
              </w:tc>
            </w:tr>
            <w:tr>
              <w:trPr/>
              <w:tc>
                <w:tcPr>
                  <w:tcW w:w="1000" w:type="pct"/>
                  <w:vAlign w:val="top"/>
                </w:tcPr>
                <w:p>
                  <w:r>
                    <w:t xml:space="preserve">322</w:t>
                  </w:r>
                </w:p>
              </w:tc>
              <w:tc>
                <w:tcPr>
                  <w:tcW w:w="4000" w:type="pct"/>
                  <w:vAlign w:val="top"/>
                </w:tcPr>
                <w:p>
                  <w:r>
                    <w:t xml:space="preserve">Direct access colonoscopy non surgical</w:t>
                  </w:r>
                </w:p>
              </w:tc>
            </w:tr>
            <w:tr>
              <w:trPr/>
              <w:tc>
                <w:tcPr>
                  <w:tcW w:w="1000" w:type="pct"/>
                  <w:vAlign w:val="top"/>
                </w:tcPr>
                <w:p>
                  <w:r>
                    <w:t xml:space="preserve">323</w:t>
                  </w:r>
                </w:p>
              </w:tc>
              <w:tc>
                <w:tcPr>
                  <w:tcW w:w="4000" w:type="pct"/>
                  <w:vAlign w:val="top"/>
                </w:tcPr>
                <w:p>
                  <w:r>
                    <w:t xml:space="preserve">Direct access upper GI endoscopy  </w:t>
                  </w:r>
                </w:p>
              </w:tc>
            </w:tr>
            <w:tr>
              <w:trPr/>
              <w:tc>
                <w:tcPr>
                  <w:tcW w:w="1000" w:type="pct"/>
                  <w:vAlign w:val="top"/>
                </w:tcPr>
                <w:p>
                  <w:r>
                    <w:t xml:space="preserve">324</w:t>
                  </w:r>
                </w:p>
              </w:tc>
              <w:tc>
                <w:tcPr>
                  <w:tcW w:w="4000" w:type="pct"/>
                  <w:vAlign w:val="top"/>
                </w:tcPr>
                <w:p>
                  <w:r>
                    <w:t xml:space="preserve">Direct access gastroscopy and colonoscopy</w:t>
                  </w:r>
                </w:p>
              </w:tc>
            </w:tr>
            <w:tr>
              <w:trPr/>
              <w:tc>
                <w:tcPr>
                  <w:tcW w:w="1000" w:type="pct"/>
                  <w:vAlign w:val="top"/>
                </w:tcPr>
                <w:p>
                  <w:r>
                    <w:t xml:space="preserve">325</w:t>
                  </w:r>
                </w:p>
              </w:tc>
              <w:tc>
                <w:tcPr>
                  <w:tcW w:w="4000" w:type="pct"/>
                  <w:vAlign w:val="top"/>
                </w:tcPr>
                <w:p>
                  <w:r>
                    <w:t xml:space="preserve">EUS Endoscopy ultrasound</w:t>
                  </w:r>
                </w:p>
              </w:tc>
            </w:tr>
            <w:tr>
              <w:trPr/>
              <w:tc>
                <w:tcPr>
                  <w:tcW w:w="1000" w:type="pct"/>
                  <w:vAlign w:val="top"/>
                </w:tcPr>
                <w:p>
                  <w:r>
                    <w:t xml:space="preserve">326</w:t>
                  </w:r>
                </w:p>
              </w:tc>
              <w:tc>
                <w:tcPr>
                  <w:tcW w:w="4000" w:type="pct"/>
                  <w:vAlign w:val="top"/>
                </w:tcPr>
                <w:p>
                  <w:r>
                    <w:t xml:space="preserve">Chemotherapy</w:t>
                  </w:r>
                </w:p>
              </w:tc>
            </w:tr>
            <w:tr>
              <w:trPr/>
              <w:tc>
                <w:tcPr>
                  <w:tcW w:w="1000" w:type="pct"/>
                  <w:vAlign w:val="top"/>
                </w:tcPr>
                <w:p>
                  <w:r>
                    <w:t xml:space="preserve">327</w:t>
                  </w:r>
                </w:p>
              </w:tc>
              <w:tc>
                <w:tcPr>
                  <w:tcW w:w="4000" w:type="pct"/>
                  <w:vAlign w:val="top"/>
                </w:tcPr>
                <w:p>
                  <w:r>
                    <w:t xml:space="preserve">Endoscopic retrograde cholangiopancreatography (ERCP)</w:t>
                  </w:r>
                </w:p>
              </w:tc>
            </w:tr>
            <w:tr>
              <w:trPr/>
              <w:tc>
                <w:tcPr>
                  <w:tcW w:w="1000" w:type="pct"/>
                  <w:vAlign w:val="top"/>
                </w:tcPr>
                <w:p>
                  <w:r>
                    <w:t xml:space="preserve">328</w:t>
                  </w:r>
                </w:p>
              </w:tc>
              <w:tc>
                <w:tcPr>
                  <w:tcW w:w="4000" w:type="pct"/>
                  <w:vAlign w:val="top"/>
                </w:tcPr>
                <w:p>
                  <w:r>
                    <w:t xml:space="preserve">In fusion</w:t>
                  </w:r>
                </w:p>
              </w:tc>
            </w:tr>
            <w:tr>
              <w:trPr/>
              <w:tc>
                <w:tcPr>
                  <w:tcW w:w="1000" w:type="pct"/>
                  <w:vAlign w:val="top"/>
                </w:tcPr>
                <w:p>
                  <w:r>
                    <w:t xml:space="preserve">505</w:t>
                  </w:r>
                </w:p>
              </w:tc>
              <w:tc>
                <w:tcPr>
                  <w:tcW w:w="4000" w:type="pct"/>
                  <w:vAlign w:val="top"/>
                </w:tcPr>
                <w:p>
                  <w:r>
                    <w:t xml:space="preserve">LUSCS</w:t>
                  </w:r>
                </w:p>
              </w:tc>
            </w:tr>
            <w:tr>
              <w:trPr/>
              <w:tc>
                <w:tcPr>
                  <w:tcW w:w="1000" w:type="pct"/>
                  <w:vAlign w:val="top"/>
                </w:tcPr>
                <w:p>
                  <w:r>
                    <w:t xml:space="preserve">506</w:t>
                  </w:r>
                </w:p>
              </w:tc>
              <w:tc>
                <w:tcPr>
                  <w:tcW w:w="4000" w:type="pct"/>
                  <w:vAlign w:val="top"/>
                </w:tcPr>
                <w:p>
                  <w:r>
                    <w:t xml:space="preserve">Other obstetrics</w:t>
                  </w:r>
                </w:p>
              </w:tc>
            </w:tr>
            <w:tr>
              <w:trPr/>
              <w:tc>
                <w:tcPr>
                  <w:tcW w:w="1000" w:type="pct"/>
                  <w:vAlign w:val="top"/>
                </w:tcPr>
                <w:p>
                  <w:r>
                    <w:t xml:space="preserve">777</w:t>
                  </w:r>
                </w:p>
              </w:tc>
              <w:tc>
                <w:tcPr>
                  <w:tcW w:w="4000" w:type="pct"/>
                  <w:vAlign w:val="top"/>
                </w:tcPr>
                <w:p>
                  <w:r>
                    <w:t xml:space="preserve">Emergency surgery</w:t>
                  </w:r>
                </w:p>
              </w:tc>
            </w:tr>
            <w:tr>
              <w:trPr/>
              <w:tc>
                <w:tcPr>
                  <w:tcW w:w="1000" w:type="pct"/>
                  <w:vAlign w:val="top"/>
                </w:tcPr>
                <w:p>
                  <w:r>
                    <w:t xml:space="preserve">990</w:t>
                  </w:r>
                </w:p>
              </w:tc>
              <w:tc>
                <w:tcPr>
                  <w:tcW w:w="4000" w:type="pct"/>
                  <w:vAlign w:val="top"/>
                </w:tcPr>
                <w:p>
                  <w:r>
                    <w:t xml:space="preserve">Gastroscopy &amp; colonoscopy</w:t>
                  </w:r>
                </w:p>
              </w:tc>
            </w:tr>
            <w:tr>
              <w:trPr/>
              <w:tc>
                <w:tcPr>
                  <w:tcW w:w="1000" w:type="pct"/>
                  <w:vAlign w:val="top"/>
                </w:tcPr>
                <w:p>
                  <w:r>
                    <w:t xml:space="preserve">998</w:t>
                  </w:r>
                </w:p>
              </w:tc>
              <w:tc>
                <w:tcPr>
                  <w:tcW w:w="4000" w:type="pct"/>
                  <w:vAlign w:val="top"/>
                </w:tcPr>
                <w:p>
                  <w:r>
                    <w:t xml:space="preserve">Upper GI endoscopy</w:t>
                  </w:r>
                </w:p>
              </w:tc>
            </w:tr>
            <w:tr>
              <w:trPr/>
              <w:tc>
                <w:tcPr>
                  <w:tcW w:w="1000" w:type="pct"/>
                  <w:vAlign w:val="top"/>
                </w:tcPr>
                <w:p>
                  <w:r>
                    <w:t xml:space="preserve">999</w:t>
                  </w:r>
                </w:p>
              </w:tc>
              <w:tc>
                <w:tcPr>
                  <w:tcW w:w="4000" w:type="pct"/>
                  <w:vAlign w:val="top"/>
                </w:tcPr>
                <w:p>
                  <w:r>
                    <w:t xml:space="preserve">Non surgical treatment</w:t>
                  </w:r>
                </w:p>
              </w:tc>
            </w:tr>
          </w:tbl>
          <w:p>
            <w:r>
              <w:t xml:space="preserve"> </w:t>
            </w:r>
          </w:p>
          <w:p>
            <w:r>
              <w:t xml:space="preserve"> </w:t>
            </w:r>
          </w:p>
          <w:p>
            <w:r>
              <w:rPr>
                <w:b/>
                <w:color w:val="000000"/>
              </w:rPr>
              <w:t xml:space="preserve">Data Element / Data Set</w:t>
            </w:r>
          </w:p>
          <w:p>
            <w:hyperlink w:history="true" r:id="Rdd7ecb92e5284ab1">
              <w:r>
                <w:rPr>
                  <w:rStyle w:val="Hyperlink"/>
                </w:rPr>
                <w:t xml:space="preserve">Elective surgery waiting list episode—outcome of offer, (Tasmanian) code X[XXXX]</w:t>
              </w:r>
            </w:hyperlink>
          </w:p>
          <w:p>
            <w:r>
              <w:rPr>
                <w:b/>
              </w:rPr>
              <w:t xml:space="preserve">Guide for use</w:t>
            </w:r>
          </w:p>
          <w:p>
            <w:r>
              <w:t xml:space="preserve"> </w:t>
            </w:r>
          </w:p>
          <w:p>
            <w:r>
              <w:t xml:space="preserve">Data is obtained from the [OfferOutcomeRefId] field in Health Central and only includes records with the 'Offer to come in' code of </w:t>
            </w:r>
            <w:r>
              <w:rPr>
                <w:i/>
              </w:rPr>
              <w:t xml:space="preserve">Patient admitted - treatment complete</w:t>
            </w:r>
            <w:r>
              <w:t xml:space="preserve">.</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c894faba5d40aa">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76cc623b84435b">
              <w:r>
                <w:rPr>
                  <w:rStyle w:val="Hyperlink"/>
                </w:rPr>
                <w:t xml:space="preserve">Service Agreement - Department of Health and Human Services Tasmania: 2017, ACT2 - Elective Surgery - Elective surgery admissions, 2017</w:t>
              </w:r>
            </w:hyperlink>
          </w:p>
          <w:p>
            <w:pPr>
              <w:spacing w:before="0" w:after="0"/>
            </w:pPr>
            <w:r>
              <w:rPr>
                <w:rStyle w:val="row-content"/>
                <w:color w:val="244061"/>
              </w:rPr>
              <w:t xml:space="preserve">       </w:t>
            </w:r>
            <w:hyperlink w:history="true" r:id="Rcac3013552604000">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d2c710779b3d487b">
              <w:r>
                <w:rPr>
                  <w:rStyle w:val="Hyperlink"/>
                </w:rPr>
                <w:t xml:space="preserve">Service Plan - Department of Health Tasmania: 2019, Elective Surgery - Elective surgery admissions, 2019</w:t>
              </w:r>
            </w:hyperlink>
          </w:p>
          <w:p>
            <w:pPr>
              <w:spacing w:before="0" w:after="0"/>
            </w:pPr>
            <w:r>
              <w:rPr>
                <w:rStyle w:val="row-content"/>
                <w:color w:val="244061"/>
              </w:rPr>
              <w:t xml:space="preserve">       </w:t>
            </w:r>
            <w:hyperlink w:history="true" r:id="Reaf15ed1a3d34b91">
              <w:r>
                <w:rPr>
                  <w:rStyle w:val="Hyperlink"/>
                  <w:color w:val="244061"/>
                </w:rPr>
                <w:t xml:space="preserve">Tasmanian Health</w:t>
              </w:r>
            </w:hyperlink>
            <w:r>
              <w:rPr>
                <w:rStyle w:val="row-content"/>
                <w:color w:val="244061"/>
              </w:rPr>
              <w:t xml:space="preserve">, Standard 24/07/2019</w:t>
            </w:r>
          </w:p>
          <w:p>
            <w:r>
              <w:br/>
            </w:r>
          </w:p>
        </w:tc>
      </w:tr>
    </w:tbl>
    <w:p>
      <w:r>
        <w:br/>
      </w:r>
    </w:p>
    <w:sectPr>
      <w:footerReference xmlns:r="http://schemas.openxmlformats.org/officeDocument/2006/relationships" w:type="default" r:id="R3c2e4c17fb644a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698662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51176732c546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c2e4c17fb644a52" /><Relationship Type="http://schemas.openxmlformats.org/officeDocument/2006/relationships/header" Target="/word/header1.xml" Id="Ra2dde34032924b9b" /><Relationship Type="http://schemas.openxmlformats.org/officeDocument/2006/relationships/settings" Target="/word/settings.xml" Id="R27a7d25d00c24d96" /><Relationship Type="http://schemas.openxmlformats.org/officeDocument/2006/relationships/styles" Target="/word/styles.xml" Id="R287d59ef158746c4" /><Relationship Type="http://schemas.openxmlformats.org/officeDocument/2006/relationships/hyperlink" Target="https://meteor.aihw.gov.au/RegistrationAuthority/15" TargetMode="External" Id="R5405271932f448f4" /><Relationship Type="http://schemas.openxmlformats.org/officeDocument/2006/relationships/hyperlink" Target="https://meteor.aihw.gov.au/content/698656" TargetMode="External" Id="R9aed74ec52184070" /><Relationship Type="http://schemas.openxmlformats.org/officeDocument/2006/relationships/hyperlink" Target="https://meteor.aihw.gov.au/RegistrationAuthority/15" TargetMode="External" Id="R2109f3bef4204465" /><Relationship Type="http://schemas.openxmlformats.org/officeDocument/2006/relationships/hyperlink" Target="https://meteor.aihw.gov.au/content/511658" TargetMode="External" Id="R588ff00c81c84711" /><Relationship Type="http://schemas.openxmlformats.org/officeDocument/2006/relationships/hyperlink" Target="https://meteor.aihw.gov.au/RegistrationAuthority/15" TargetMode="External" Id="Ra85ed14bf5db4e0a" /><Relationship Type="http://schemas.openxmlformats.org/officeDocument/2006/relationships/hyperlink" Target="https://meteor.aihw.gov.au/content/416555" TargetMode="External" Id="R4b33cb03e97649a8" /><Relationship Type="http://schemas.openxmlformats.org/officeDocument/2006/relationships/hyperlink" Target="https://meteor.aihw.gov.au/content/416596" TargetMode="External" Id="R25230fb3aa4c4737" /><Relationship Type="http://schemas.openxmlformats.org/officeDocument/2006/relationships/hyperlink" Target="https://meteor.aihw.gov.au/content/448296" TargetMode="External" Id="R1ee5c414f094465c" /><Relationship Type="http://schemas.openxmlformats.org/officeDocument/2006/relationships/hyperlink" Target="https://meteor.aihw.gov.au/content/449466" TargetMode="External" Id="Rdfd4315d2bb94bca" /><Relationship Type="http://schemas.openxmlformats.org/officeDocument/2006/relationships/hyperlink" Target="https://meteor.aihw.gov.au/content/450936" TargetMode="External" Id="Rb81a25ef18304945" /><Relationship Type="http://schemas.openxmlformats.org/officeDocument/2006/relationships/hyperlink" Target="https://meteor.aihw.gov.au/content/455189" TargetMode="External" Id="Rdd7ecb92e5284ab1" /><Relationship Type="http://schemas.openxmlformats.org/officeDocument/2006/relationships/hyperlink" Target="https://meteor.aihw.gov.au/content/416596" TargetMode="External" Id="R02c894faba5d40aa" /><Relationship Type="http://schemas.openxmlformats.org/officeDocument/2006/relationships/numbering" Target="/word/numbering.xml" Id="R1bac6125fdb146af" /><Relationship Type="http://schemas.openxmlformats.org/officeDocument/2006/relationships/hyperlink" Target="https://meteor.aihw.gov.au/content/675883" TargetMode="External" Id="Rd176cc623b84435b" /><Relationship Type="http://schemas.openxmlformats.org/officeDocument/2006/relationships/hyperlink" Target="https://meteor.aihw.gov.au/RegistrationAuthority/15" TargetMode="External" Id="Rcac3013552604000" /><Relationship Type="http://schemas.openxmlformats.org/officeDocument/2006/relationships/hyperlink" Target="https://meteor.aihw.gov.au/content/720263" TargetMode="External" Id="Rd2c710779b3d487b" /><Relationship Type="http://schemas.openxmlformats.org/officeDocument/2006/relationships/hyperlink" Target="https://meteor.aihw.gov.au/RegistrationAuthority/15" TargetMode="External" Id="Reaf15ed1a3d34b91" /></Relationships>
</file>

<file path=word/_rels/header1.xml.rels>&#65279;<?xml version="1.0" encoding="utf-8"?><Relationships xmlns="http://schemas.openxmlformats.org/package/2006/relationships"><Relationship Type="http://schemas.openxmlformats.org/officeDocument/2006/relationships/image" Target="/media/image.png" Id="R5851176732c546d3" /></Relationships>
</file>