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6295bd58e4784" /></Relationships>
</file>

<file path=word/document.xml><?xml version="1.0" encoding="utf-8"?>
<w:document xmlns:r="http://schemas.openxmlformats.org/officeDocument/2006/relationships" xmlns:w="http://schemas.openxmlformats.org/wordprocessingml/2006/main">
  <w:body>
    <w:p>
      <w:pPr>
        <w:pStyle w:val="Title"/>
      </w:pPr>
      <w:r>
        <w:t>Venous thromboembolism prevention clinical care standard indicators: Proportion of patients prescribed appropriate venous thromboembolism prophylaxis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Venous thromboembolism prevention clinical care standard indicators: Proportion of patients prescribed appropriate venous thromboembolism prophylaxis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d1e12716a43f5">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patients prescribed appropriate </w:t>
            </w:r>
            <w:hyperlink w:tooltip="The blocking of a blood vessel by a clot that has broken away from its site of origin. It includes both deep vein thrombosis and pulmonary embolism (NICE 2015)." w:history="true" r:id="R0a7e474470e34846">
              <w:r>
                <w:rPr>
                  <w:rStyle w:val="Hyperlink"/>
                  <w:b/>
                </w:rPr>
                <w:t xml:space="preserve">venous thromboembolism</w:t>
              </w:r>
            </w:hyperlink>
            <w:r>
              <w:rPr>
                <w:rStyle w:val="row-content-rich-text"/>
              </w:rPr>
              <w:t xml:space="preserve"> (VTE) prophylaxis.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2582cbc70e47c6">
              <w:r>
                <w:rPr>
                  <w:rStyle w:val="Hyperlink"/>
                </w:rPr>
                <w:t xml:space="preserve">Clinical care standard indicators: venous thromboembolism (VTE) prevention</w:t>
              </w:r>
            </w:hyperlink>
          </w:p>
          <w:p>
            <w:pPr>
              <w:spacing w:before="0" w:after="0"/>
            </w:pPr>
            <w:r>
              <w:rPr>
                <w:rStyle w:val="row-content"/>
                <w:color w:val="244061"/>
              </w:rPr>
              <w:t xml:space="preserve">       </w:t>
            </w:r>
            <w:hyperlink w:history="true" r:id="Rc2ba45ea1b134194">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'appropriate' means in relation to the patient's VTE and bleeding risks, and in accordance with the locally approved guideline/policy.</w:t>
            </w:r>
          </w:p>
          <w:p>
            <w:pPr>
              <w:spacing w:after="160"/>
            </w:pPr>
            <w:r>
              <w:rPr>
                <w:rStyle w:val="row-content-rich-text"/>
              </w:rPr>
              <w:t xml:space="preserve">VTE prophylaxis may include medicines, mechanical devices, early mobilisation and/ or patient education. For lower risk patients, prophylaxis may not be required. The requirement for prophylaxis and the type should be documented in the patient's medical record.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prescribed​ VTE prophylaxis appropriate to their VTE and bleeding risks, and in accordance with the locally approved guideline/policy.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prescribed​ VTE prophylaxis.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the Venous thromboembolism prevention clinical care standard (ACSQHC 2018) for key considerations for the safe and effective use of VTE prevention methods.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 and day procedure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2018. Venous thromboembolism prevention clinical care standard. Sydney: ACSQHC.</w:t>
            </w:r>
          </w:p>
        </w:tc>
      </w:tr>
    </w:tbl>
    <w:p>
      <w:r>
        <w:br/>
      </w:r>
    </w:p>
    <w:sectPr>
      <w:footerReference xmlns:r="http://schemas.openxmlformats.org/officeDocument/2006/relationships" w:type="default" r:id="R34d21431316c4b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697323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a04ce5f50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21431316c4bdf" /><Relationship Type="http://schemas.openxmlformats.org/officeDocument/2006/relationships/header" Target="/word/header1.xml" Id="R1b6de40ea1ee43a4" /><Relationship Type="http://schemas.openxmlformats.org/officeDocument/2006/relationships/settings" Target="/word/settings.xml" Id="R16360ebc816b4a9f" /><Relationship Type="http://schemas.openxmlformats.org/officeDocument/2006/relationships/styles" Target="/word/styles.xml" Id="R957f13ab499041ef" /><Relationship Type="http://schemas.openxmlformats.org/officeDocument/2006/relationships/hyperlink" Target="https://meteor.aihw.gov.au/RegistrationAuthority/18" TargetMode="External" Id="R95cd1e12716a43f5" /><Relationship Type="http://schemas.openxmlformats.org/officeDocument/2006/relationships/hyperlink" Target="https://meteor.aihw.gov.au/content/697217" TargetMode="External" Id="R0a7e474470e34846" /><Relationship Type="http://schemas.openxmlformats.org/officeDocument/2006/relationships/hyperlink" Target="https://meteor.aihw.gov.au/content/697224" TargetMode="External" Id="R372582cbc70e47c6" /><Relationship Type="http://schemas.openxmlformats.org/officeDocument/2006/relationships/hyperlink" Target="https://meteor.aihw.gov.au/RegistrationAuthority/18" TargetMode="External" Id="Rc2ba45ea1b134194" /></Relationships>
</file>

<file path=word/_rels/header1.xml.rels>&#65279;<?xml version="1.0" encoding="utf-8"?><Relationships xmlns="http://schemas.openxmlformats.org/package/2006/relationships"><Relationship Type="http://schemas.openxmlformats.org/officeDocument/2006/relationships/image" Target="/media/image.png" Id="R14ca04ce5f504a4e" /></Relationships>
</file>